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61" w:rsidRDefault="00C80161">
      <w:pPr>
        <w:rPr>
          <w:rFonts w:ascii="Arial" w:hAnsi="Arial" w:cs="Arial"/>
          <w:b/>
          <w:sz w:val="28"/>
          <w:szCs w:val="28"/>
        </w:rPr>
      </w:pPr>
      <w:r w:rsidRPr="005408CC">
        <w:rPr>
          <w:rFonts w:ascii="Arial" w:hAnsi="Arial" w:cs="Arial"/>
          <w:b/>
          <w:sz w:val="28"/>
          <w:szCs w:val="28"/>
        </w:rPr>
        <w:t>CHAPTER 1</w:t>
      </w:r>
    </w:p>
    <w:p w:rsidR="00EB5C2F" w:rsidRPr="005408CC" w:rsidRDefault="00EB5C2F">
      <w:pPr>
        <w:rPr>
          <w:rFonts w:ascii="Arial" w:hAnsi="Arial" w:cs="Arial"/>
          <w:b/>
          <w:sz w:val="28"/>
          <w:szCs w:val="28"/>
        </w:rPr>
      </w:pPr>
    </w:p>
    <w:p w:rsidR="00C80161" w:rsidRPr="00E018CA" w:rsidRDefault="00C80161">
      <w:r w:rsidRPr="00E018CA">
        <w:rPr>
          <w:rFonts w:ascii="Arial" w:hAnsi="Arial" w:cs="Arial"/>
          <w:b/>
          <w:sz w:val="28"/>
          <w:szCs w:val="28"/>
        </w:rPr>
        <w:t>TAXATION―</w:t>
      </w:r>
      <w:r w:rsidR="00EB5C2F" w:rsidRPr="00E018CA">
        <w:rPr>
          <w:rFonts w:ascii="Arial" w:hAnsi="Arial" w:cs="Arial"/>
          <w:b/>
          <w:sz w:val="28"/>
          <w:szCs w:val="28"/>
        </w:rPr>
        <w:t xml:space="preserve"> </w:t>
      </w:r>
      <w:r w:rsidR="00BE1BAB" w:rsidRPr="00E018CA">
        <w:rPr>
          <w:rFonts w:ascii="Arial" w:hAnsi="Arial" w:cs="Arial"/>
          <w:b/>
          <w:sz w:val="28"/>
          <w:szCs w:val="28"/>
        </w:rPr>
        <w:t xml:space="preserve">ITS ROLE IN BUSINESS DECISION </w:t>
      </w:r>
      <w:r w:rsidR="0003634D" w:rsidRPr="00E018CA">
        <w:rPr>
          <w:rFonts w:ascii="Arial" w:hAnsi="Arial" w:cs="Arial"/>
          <w:b/>
          <w:sz w:val="28"/>
          <w:szCs w:val="28"/>
        </w:rPr>
        <w:t>MAKING</w:t>
      </w:r>
    </w:p>
    <w:p w:rsidR="00C80161" w:rsidRDefault="00C80161">
      <w:pPr>
        <w:rPr>
          <w:rFonts w:ascii="Courier" w:hAnsi="Courier"/>
        </w:rPr>
      </w:pPr>
    </w:p>
    <w:p w:rsidR="00E018CA" w:rsidRDefault="00E018CA" w:rsidP="00E018CA">
      <w:pPr>
        <w:jc w:val="both"/>
        <w:rPr>
          <w:rFonts w:ascii="Arial" w:hAnsi="Arial" w:cs="Arial"/>
          <w:b/>
          <w:szCs w:val="24"/>
        </w:rPr>
      </w:pPr>
    </w:p>
    <w:p w:rsidR="00E018CA" w:rsidRPr="000D54E5" w:rsidRDefault="00E018CA" w:rsidP="00E018CA">
      <w:pPr>
        <w:jc w:val="both"/>
        <w:rPr>
          <w:rFonts w:ascii="Arial" w:hAnsi="Arial" w:cs="Arial"/>
          <w:b/>
          <w:sz w:val="22"/>
          <w:szCs w:val="22"/>
        </w:rPr>
      </w:pPr>
      <w:r w:rsidRPr="000D54E5">
        <w:rPr>
          <w:rFonts w:ascii="Arial" w:hAnsi="Arial" w:cs="Arial"/>
          <w:b/>
          <w:sz w:val="22"/>
          <w:szCs w:val="22"/>
        </w:rPr>
        <w:t>Review Questions</w:t>
      </w:r>
    </w:p>
    <w:p w:rsidR="00C80161" w:rsidRPr="000D54E5" w:rsidRDefault="00C80161">
      <w:pPr>
        <w:rPr>
          <w:rFonts w:ascii="Courier" w:hAnsi="Courier"/>
          <w:sz w:val="22"/>
          <w:szCs w:val="22"/>
        </w:rPr>
      </w:pPr>
    </w:p>
    <w:p w:rsidR="00196581" w:rsidRPr="000D54E5" w:rsidRDefault="00196581" w:rsidP="007E72F0">
      <w:pPr>
        <w:ind w:left="720" w:hanging="720"/>
        <w:jc w:val="both"/>
        <w:rPr>
          <w:rFonts w:ascii="Arial" w:hAnsi="Arial" w:cs="Arial"/>
          <w:sz w:val="22"/>
          <w:szCs w:val="22"/>
        </w:rPr>
      </w:pPr>
      <w:r w:rsidRPr="000D54E5">
        <w:rPr>
          <w:rFonts w:ascii="Arial" w:hAnsi="Arial" w:cs="Arial"/>
          <w:sz w:val="22"/>
          <w:szCs w:val="22"/>
        </w:rPr>
        <w:t xml:space="preserve">1. </w:t>
      </w:r>
      <w:r w:rsidRPr="000D54E5">
        <w:rPr>
          <w:rFonts w:ascii="Arial" w:hAnsi="Arial" w:cs="Arial"/>
          <w:sz w:val="22"/>
          <w:szCs w:val="22"/>
        </w:rPr>
        <w:tab/>
        <w:t xml:space="preserve">If income tax is imposed after profits have been determined, why is taxation relevant to business </w:t>
      </w:r>
      <w:r w:rsidR="00BE1BAB" w:rsidRPr="000D54E5">
        <w:rPr>
          <w:rFonts w:ascii="Arial" w:hAnsi="Arial" w:cs="Arial"/>
          <w:sz w:val="22"/>
          <w:szCs w:val="22"/>
        </w:rPr>
        <w:t xml:space="preserve">decision </w:t>
      </w:r>
      <w:r w:rsidR="00244072" w:rsidRPr="000D54E5">
        <w:rPr>
          <w:rFonts w:ascii="Arial" w:hAnsi="Arial" w:cs="Arial"/>
          <w:sz w:val="22"/>
          <w:szCs w:val="22"/>
        </w:rPr>
        <w:t>making</w:t>
      </w:r>
      <w:r w:rsidRPr="000D54E5">
        <w:rPr>
          <w:rFonts w:ascii="Arial" w:hAnsi="Arial" w:cs="Arial"/>
          <w:sz w:val="22"/>
          <w:szCs w:val="22"/>
        </w:rPr>
        <w:t>?</w:t>
      </w:r>
    </w:p>
    <w:p w:rsidR="007E72F0" w:rsidRPr="000D54E5" w:rsidRDefault="007E72F0" w:rsidP="007E72F0">
      <w:pPr>
        <w:ind w:left="720" w:hanging="720"/>
        <w:jc w:val="both"/>
        <w:rPr>
          <w:rFonts w:ascii="Arial" w:hAnsi="Arial" w:cs="Arial"/>
          <w:sz w:val="22"/>
          <w:szCs w:val="22"/>
        </w:rPr>
      </w:pPr>
    </w:p>
    <w:p w:rsidR="00196581" w:rsidRPr="000D54E5" w:rsidRDefault="00196581" w:rsidP="007E72F0">
      <w:pPr>
        <w:ind w:left="720" w:hanging="720"/>
        <w:jc w:val="both"/>
        <w:rPr>
          <w:rFonts w:ascii="Arial" w:hAnsi="Arial" w:cs="Arial"/>
          <w:sz w:val="22"/>
          <w:szCs w:val="22"/>
        </w:rPr>
      </w:pPr>
      <w:r w:rsidRPr="000D54E5">
        <w:rPr>
          <w:rFonts w:ascii="Arial" w:hAnsi="Arial" w:cs="Arial"/>
          <w:sz w:val="22"/>
          <w:szCs w:val="22"/>
        </w:rPr>
        <w:t xml:space="preserve">2. </w:t>
      </w:r>
      <w:r w:rsidRPr="000D54E5">
        <w:rPr>
          <w:rFonts w:ascii="Arial" w:hAnsi="Arial" w:cs="Arial"/>
          <w:sz w:val="22"/>
          <w:szCs w:val="22"/>
        </w:rPr>
        <w:tab/>
        <w:t>Most business decisions involve the evaluation of alternative courses of action. For example, a marketing manager may be responsible for choosing a strategy for establishing sales in new geographical territories. Briefly explain how the tax factor can be an integral part of this decision.</w:t>
      </w:r>
    </w:p>
    <w:p w:rsidR="007E72F0" w:rsidRPr="000D54E5" w:rsidRDefault="007E72F0" w:rsidP="007E72F0">
      <w:pPr>
        <w:ind w:left="720" w:hanging="720"/>
        <w:jc w:val="both"/>
        <w:rPr>
          <w:rFonts w:ascii="Arial" w:hAnsi="Arial" w:cs="Arial"/>
          <w:sz w:val="22"/>
          <w:szCs w:val="22"/>
        </w:rPr>
      </w:pPr>
    </w:p>
    <w:p w:rsidR="00196581" w:rsidRPr="000D54E5" w:rsidRDefault="005F22F5" w:rsidP="007E72F0">
      <w:pPr>
        <w:ind w:left="720" w:hanging="720"/>
        <w:jc w:val="both"/>
        <w:rPr>
          <w:rFonts w:ascii="Arial" w:hAnsi="Arial" w:cs="Arial"/>
          <w:sz w:val="22"/>
          <w:szCs w:val="22"/>
        </w:rPr>
      </w:pPr>
      <w:r w:rsidRPr="000D54E5">
        <w:rPr>
          <w:rFonts w:ascii="Arial" w:hAnsi="Arial" w:cs="Arial"/>
          <w:sz w:val="22"/>
          <w:szCs w:val="22"/>
        </w:rPr>
        <w:t>3</w:t>
      </w:r>
      <w:r w:rsidR="00196581" w:rsidRPr="000D54E5">
        <w:rPr>
          <w:rFonts w:ascii="Arial" w:hAnsi="Arial" w:cs="Arial"/>
          <w:sz w:val="22"/>
          <w:szCs w:val="22"/>
        </w:rPr>
        <w:t xml:space="preserve">. </w:t>
      </w:r>
      <w:r w:rsidR="00196581" w:rsidRPr="000D54E5">
        <w:rPr>
          <w:rFonts w:ascii="Arial" w:hAnsi="Arial" w:cs="Arial"/>
          <w:sz w:val="22"/>
          <w:szCs w:val="22"/>
        </w:rPr>
        <w:tab/>
        <w:t>What are the fundamental variables of the income tax system that decision makers should be familiar with so that they can apply tax issues to their areas of responsibility?</w:t>
      </w:r>
    </w:p>
    <w:p w:rsidR="007E72F0" w:rsidRPr="000D54E5" w:rsidRDefault="007E72F0" w:rsidP="007E72F0">
      <w:pPr>
        <w:ind w:left="720" w:hanging="720"/>
        <w:jc w:val="both"/>
        <w:rPr>
          <w:rFonts w:ascii="Arial" w:hAnsi="Arial" w:cs="Arial"/>
          <w:sz w:val="22"/>
          <w:szCs w:val="22"/>
        </w:rPr>
      </w:pPr>
    </w:p>
    <w:p w:rsidR="00E018CA" w:rsidRPr="000D54E5" w:rsidRDefault="005F22F5" w:rsidP="007E72F0">
      <w:pPr>
        <w:ind w:left="720" w:hanging="720"/>
        <w:jc w:val="both"/>
        <w:rPr>
          <w:rFonts w:ascii="Arial" w:hAnsi="Arial" w:cs="Arial"/>
          <w:sz w:val="22"/>
          <w:szCs w:val="22"/>
        </w:rPr>
      </w:pPr>
      <w:r w:rsidRPr="000D54E5">
        <w:rPr>
          <w:rFonts w:ascii="Arial" w:hAnsi="Arial" w:cs="Arial"/>
          <w:sz w:val="22"/>
          <w:szCs w:val="22"/>
        </w:rPr>
        <w:t>4</w:t>
      </w:r>
      <w:r w:rsidR="00196581" w:rsidRPr="000D54E5">
        <w:rPr>
          <w:rFonts w:ascii="Arial" w:hAnsi="Arial" w:cs="Arial"/>
          <w:sz w:val="22"/>
          <w:szCs w:val="22"/>
        </w:rPr>
        <w:t xml:space="preserve">. </w:t>
      </w:r>
      <w:r w:rsidR="00196581" w:rsidRPr="000D54E5">
        <w:rPr>
          <w:rFonts w:ascii="Arial" w:hAnsi="Arial" w:cs="Arial"/>
          <w:sz w:val="22"/>
          <w:szCs w:val="22"/>
        </w:rPr>
        <w:tab/>
        <w:t>What is an “after-tax” approach to decision making?</w:t>
      </w:r>
    </w:p>
    <w:p w:rsidR="00091002" w:rsidRDefault="00091002" w:rsidP="00091002">
      <w:pPr>
        <w:tabs>
          <w:tab w:val="right" w:pos="9360"/>
        </w:tabs>
        <w:ind w:left="720" w:hanging="720"/>
        <w:jc w:val="right"/>
        <w:rPr>
          <w:rFonts w:ascii="Arial" w:hAnsi="Arial" w:cs="Arial"/>
          <w:sz w:val="22"/>
          <w:szCs w:val="22"/>
        </w:rPr>
      </w:pPr>
    </w:p>
    <w:p w:rsidR="00256E05" w:rsidRDefault="00256E05" w:rsidP="00091002">
      <w:pPr>
        <w:tabs>
          <w:tab w:val="right" w:pos="9360"/>
        </w:tabs>
        <w:ind w:left="720" w:hanging="720"/>
        <w:jc w:val="both"/>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Pr="00256E05" w:rsidRDefault="00256E05" w:rsidP="00256E05">
      <w:pPr>
        <w:rPr>
          <w:rFonts w:ascii="Arial" w:hAnsi="Arial" w:cs="Arial"/>
          <w:sz w:val="22"/>
          <w:szCs w:val="22"/>
        </w:rPr>
      </w:pPr>
    </w:p>
    <w:p w:rsidR="00256E05" w:rsidRDefault="00256E05" w:rsidP="00091002">
      <w:pPr>
        <w:tabs>
          <w:tab w:val="right" w:pos="9360"/>
        </w:tabs>
        <w:ind w:left="720" w:hanging="720"/>
        <w:jc w:val="both"/>
        <w:rPr>
          <w:rFonts w:ascii="Arial" w:hAnsi="Arial" w:cs="Arial"/>
          <w:sz w:val="22"/>
          <w:szCs w:val="22"/>
        </w:rPr>
      </w:pPr>
    </w:p>
    <w:p w:rsidR="00256E05" w:rsidRPr="00256E05" w:rsidRDefault="00256E05" w:rsidP="00256E05">
      <w:pPr>
        <w:rPr>
          <w:rFonts w:ascii="Arial" w:hAnsi="Arial" w:cs="Arial"/>
          <w:sz w:val="22"/>
          <w:szCs w:val="22"/>
        </w:rPr>
      </w:pPr>
    </w:p>
    <w:p w:rsidR="00256E05" w:rsidRDefault="00256E05" w:rsidP="00091002">
      <w:pPr>
        <w:tabs>
          <w:tab w:val="right" w:pos="9360"/>
        </w:tabs>
        <w:ind w:left="720" w:hanging="720"/>
        <w:jc w:val="both"/>
        <w:rPr>
          <w:rFonts w:ascii="Arial" w:hAnsi="Arial" w:cs="Arial"/>
          <w:sz w:val="22"/>
          <w:szCs w:val="22"/>
        </w:rPr>
      </w:pPr>
    </w:p>
    <w:p w:rsidR="00256E05" w:rsidRDefault="00256E05" w:rsidP="00256E05">
      <w:pPr>
        <w:tabs>
          <w:tab w:val="right" w:pos="9360"/>
        </w:tabs>
        <w:ind w:left="720" w:hanging="720"/>
        <w:jc w:val="right"/>
        <w:rPr>
          <w:rFonts w:ascii="Arial" w:hAnsi="Arial" w:cs="Arial"/>
          <w:sz w:val="22"/>
          <w:szCs w:val="22"/>
        </w:rPr>
      </w:pPr>
    </w:p>
    <w:p w:rsidR="00196581" w:rsidRDefault="00E018CA" w:rsidP="00091002">
      <w:pPr>
        <w:tabs>
          <w:tab w:val="right" w:pos="9360"/>
        </w:tabs>
        <w:ind w:left="720" w:hanging="720"/>
        <w:jc w:val="both"/>
        <w:rPr>
          <w:rFonts w:ascii="Arial" w:hAnsi="Arial" w:cs="Arial"/>
          <w:szCs w:val="24"/>
        </w:rPr>
      </w:pPr>
      <w:r w:rsidRPr="00256E05">
        <w:rPr>
          <w:rFonts w:ascii="Arial" w:hAnsi="Arial" w:cs="Arial"/>
          <w:sz w:val="22"/>
          <w:szCs w:val="22"/>
        </w:rPr>
        <w:br w:type="page"/>
      </w:r>
      <w:r w:rsidR="00091002">
        <w:rPr>
          <w:rFonts w:ascii="Arial" w:hAnsi="Arial" w:cs="Arial"/>
          <w:sz w:val="22"/>
          <w:szCs w:val="22"/>
        </w:rPr>
        <w:lastRenderedPageBreak/>
        <w:tab/>
      </w:r>
    </w:p>
    <w:p w:rsidR="00C80161" w:rsidRPr="000D54E5" w:rsidRDefault="00E018CA">
      <w:pPr>
        <w:rPr>
          <w:rFonts w:ascii="Arial" w:hAnsi="Arial" w:cs="Arial"/>
          <w:sz w:val="22"/>
          <w:szCs w:val="22"/>
        </w:rPr>
      </w:pPr>
      <w:r w:rsidRPr="000D54E5">
        <w:rPr>
          <w:rFonts w:ascii="Arial" w:hAnsi="Arial" w:cs="Arial"/>
          <w:b/>
          <w:sz w:val="22"/>
          <w:szCs w:val="22"/>
        </w:rPr>
        <w:t>Solutions to Review Questions</w:t>
      </w:r>
    </w:p>
    <w:p w:rsidR="00C80161" w:rsidRPr="000D54E5" w:rsidRDefault="00C80161" w:rsidP="005408CC">
      <w:pPr>
        <w:jc w:val="both"/>
        <w:rPr>
          <w:rFonts w:ascii="Arial" w:hAnsi="Arial" w:cs="Arial"/>
          <w:sz w:val="22"/>
          <w:szCs w:val="22"/>
        </w:rPr>
      </w:pPr>
    </w:p>
    <w:p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R1-1</w:t>
      </w:r>
      <w:r w:rsidRPr="000D54E5">
        <w:rPr>
          <w:rFonts w:ascii="Arial" w:hAnsi="Arial" w:cs="Arial"/>
          <w:sz w:val="22"/>
          <w:szCs w:val="22"/>
        </w:rPr>
        <w:tab/>
        <w:t>O</w:t>
      </w:r>
      <w:r w:rsidR="00C80161" w:rsidRPr="000D54E5">
        <w:rPr>
          <w:rFonts w:ascii="Arial" w:hAnsi="Arial" w:cs="Arial"/>
          <w:sz w:val="22"/>
          <w:szCs w:val="22"/>
        </w:rPr>
        <w:t xml:space="preserve">nce profit is determined, the amount of income tax that results is determined by the </w:t>
      </w:r>
      <w:r w:rsidR="00C80161" w:rsidRPr="00A755B9">
        <w:rPr>
          <w:rFonts w:ascii="Arial" w:hAnsi="Arial" w:cs="Arial"/>
          <w:i/>
          <w:sz w:val="22"/>
          <w:szCs w:val="22"/>
        </w:rPr>
        <w:t>Income Tax Act</w:t>
      </w:r>
      <w:r w:rsidR="00C80161" w:rsidRPr="000D54E5">
        <w:rPr>
          <w:rFonts w:ascii="Arial" w:hAnsi="Arial" w:cs="Arial"/>
          <w:sz w:val="22"/>
          <w:szCs w:val="22"/>
        </w:rPr>
        <w:t>. However, at all levels of management, alternative courses of action are evaluated and decided upon. In many cases, the choice of one alternative over the other may affect both the amount and the timing of future taxes on income generated from that activity. Therefore, the person making those decisions has a direct input into future after</w:t>
      </w:r>
      <w:r w:rsidR="00C80161" w:rsidRPr="000D54E5">
        <w:rPr>
          <w:rFonts w:ascii="Arial" w:hAnsi="Arial" w:cs="Arial"/>
          <w:sz w:val="22"/>
          <w:szCs w:val="22"/>
        </w:rPr>
        <w:noBreakHyphen/>
        <w:t>tax cash flow. Obviously</w:t>
      </w:r>
      <w:r w:rsidR="003A27FE" w:rsidRPr="000D54E5">
        <w:rPr>
          <w:rFonts w:ascii="Arial" w:hAnsi="Arial" w:cs="Arial"/>
          <w:sz w:val="22"/>
          <w:szCs w:val="22"/>
        </w:rPr>
        <w:t>,</w:t>
      </w:r>
      <w:r w:rsidR="00C80161" w:rsidRPr="000D54E5">
        <w:rPr>
          <w:rFonts w:ascii="Arial" w:hAnsi="Arial" w:cs="Arial"/>
          <w:sz w:val="22"/>
          <w:szCs w:val="22"/>
        </w:rPr>
        <w:t xml:space="preserve"> decisions that reduce or postpone the payment of tax affect the ultimate return on investment and, in turn, the value of the enterprise. Including the tax variable as a part of the formal decision process will ultimately lead to improved after</w:t>
      </w:r>
      <w:r w:rsidR="00C80161" w:rsidRPr="000D54E5">
        <w:rPr>
          <w:rFonts w:ascii="Arial" w:hAnsi="Arial" w:cs="Arial"/>
          <w:sz w:val="22"/>
          <w:szCs w:val="22"/>
        </w:rPr>
        <w:noBreakHyphen/>
        <w:t>tax cash flow.</w:t>
      </w:r>
    </w:p>
    <w:p w:rsidR="00C80161" w:rsidRPr="000D54E5" w:rsidRDefault="00C80161" w:rsidP="005408CC">
      <w:pPr>
        <w:jc w:val="both"/>
        <w:rPr>
          <w:rFonts w:ascii="Arial" w:hAnsi="Arial" w:cs="Arial"/>
          <w:sz w:val="22"/>
          <w:szCs w:val="22"/>
        </w:rPr>
      </w:pPr>
    </w:p>
    <w:p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R1-2</w:t>
      </w:r>
      <w:r w:rsidR="00C80161" w:rsidRPr="000D54E5">
        <w:rPr>
          <w:rFonts w:ascii="Arial" w:hAnsi="Arial" w:cs="Arial"/>
          <w:sz w:val="22"/>
          <w:szCs w:val="22"/>
        </w:rPr>
        <w:tab/>
        <w:t>Expansion can be achieved in new geographic areas through direct selling, or by establishing a formal presence in the new territory with a branch office or a separate corporation. The new territories may also cross provincial or international boundaries. Provincial income tax rates vary amongst the provinces. The amount of income that is subject to tax in the new province will be different for each of the three alternatives mentioned above. For example, with direct selling</w:t>
      </w:r>
      <w:r w:rsidR="00CC542B">
        <w:rPr>
          <w:rFonts w:ascii="Arial" w:hAnsi="Arial" w:cs="Arial"/>
          <w:sz w:val="22"/>
          <w:szCs w:val="22"/>
        </w:rPr>
        <w:t>,</w:t>
      </w:r>
      <w:r w:rsidR="00C80161" w:rsidRPr="000D54E5">
        <w:rPr>
          <w:rFonts w:ascii="Arial" w:hAnsi="Arial" w:cs="Arial"/>
          <w:sz w:val="22"/>
          <w:szCs w:val="22"/>
        </w:rPr>
        <w:t xml:space="preserve"> none of the income is taxed in the new province, but with a separate corporation</w:t>
      </w:r>
      <w:r w:rsidR="00CC542B">
        <w:rPr>
          <w:rFonts w:ascii="Arial" w:hAnsi="Arial" w:cs="Arial"/>
          <w:sz w:val="22"/>
          <w:szCs w:val="22"/>
        </w:rPr>
        <w:t>,</w:t>
      </w:r>
      <w:r w:rsidR="00C80161" w:rsidRPr="000D54E5">
        <w:rPr>
          <w:rFonts w:ascii="Arial" w:hAnsi="Arial" w:cs="Arial"/>
          <w:sz w:val="22"/>
          <w:szCs w:val="22"/>
        </w:rPr>
        <w:t xml:space="preserve"> all of the income is taxed in the new province. Because the tax cost is different in each case, taxation is a relevant part of the decision and must be included in any cost</w:t>
      </w:r>
      <w:r w:rsidR="00C80161" w:rsidRPr="000D54E5">
        <w:rPr>
          <w:rFonts w:ascii="Arial" w:hAnsi="Arial" w:cs="Arial"/>
          <w:sz w:val="22"/>
          <w:szCs w:val="22"/>
        </w:rPr>
        <w:noBreakHyphen/>
        <w:t xml:space="preserve">benefit analysis that compares the three alternatives </w:t>
      </w:r>
      <w:r w:rsidR="008270B9" w:rsidRPr="000D54E5">
        <w:rPr>
          <w:rFonts w:ascii="Arial" w:hAnsi="Arial" w:cs="Arial"/>
          <w:sz w:val="22"/>
          <w:szCs w:val="22"/>
        </w:rPr>
        <w:t>[</w:t>
      </w:r>
      <w:r w:rsidR="00C80161" w:rsidRPr="000D54E5">
        <w:rPr>
          <w:rFonts w:ascii="Arial" w:hAnsi="Arial" w:cs="Arial"/>
          <w:sz w:val="22"/>
          <w:szCs w:val="22"/>
        </w:rPr>
        <w:t>Reg</w:t>
      </w:r>
      <w:r w:rsidR="00DD1DDD">
        <w:rPr>
          <w:rFonts w:ascii="Arial" w:hAnsi="Arial" w:cs="Arial"/>
          <w:sz w:val="22"/>
          <w:szCs w:val="22"/>
        </w:rPr>
        <w:t>.</w:t>
      </w:r>
      <w:r w:rsidR="00C80161" w:rsidRPr="000D54E5">
        <w:rPr>
          <w:rFonts w:ascii="Arial" w:hAnsi="Arial" w:cs="Arial"/>
          <w:sz w:val="22"/>
          <w:szCs w:val="22"/>
        </w:rPr>
        <w:t xml:space="preserve"> 400-402.</w:t>
      </w:r>
      <w:r w:rsidR="007F3153">
        <w:rPr>
          <w:rFonts w:ascii="Arial" w:hAnsi="Arial" w:cs="Arial"/>
          <w:sz w:val="22"/>
          <w:szCs w:val="22"/>
        </w:rPr>
        <w:t>1</w:t>
      </w:r>
      <w:r w:rsidR="008270B9" w:rsidRPr="000D54E5">
        <w:rPr>
          <w:rFonts w:ascii="Arial" w:hAnsi="Arial" w:cs="Arial"/>
          <w:sz w:val="22"/>
          <w:szCs w:val="22"/>
        </w:rPr>
        <w:t>].</w:t>
      </w:r>
    </w:p>
    <w:p w:rsidR="00C80161" w:rsidRPr="000D54E5" w:rsidRDefault="00C80161" w:rsidP="005408CC">
      <w:pPr>
        <w:jc w:val="both"/>
        <w:rPr>
          <w:rFonts w:ascii="Arial" w:hAnsi="Arial" w:cs="Arial"/>
          <w:sz w:val="22"/>
          <w:szCs w:val="22"/>
        </w:rPr>
      </w:pPr>
    </w:p>
    <w:p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R1-3</w:t>
      </w:r>
      <w:r w:rsidR="00C80161" w:rsidRPr="000D54E5">
        <w:rPr>
          <w:rFonts w:ascii="Arial" w:hAnsi="Arial" w:cs="Arial"/>
          <w:sz w:val="22"/>
          <w:szCs w:val="22"/>
        </w:rPr>
        <w:tab/>
        <w:t xml:space="preserve">A basic understanding of the following variables will significantly strengthen a </w:t>
      </w:r>
      <w:r w:rsidR="001C6B2F" w:rsidRPr="000D54E5">
        <w:rPr>
          <w:rFonts w:ascii="Arial" w:hAnsi="Arial" w:cs="Arial"/>
          <w:sz w:val="22"/>
          <w:szCs w:val="22"/>
        </w:rPr>
        <w:t>decision maker</w:t>
      </w:r>
      <w:r w:rsidR="00C80161" w:rsidRPr="000D54E5">
        <w:rPr>
          <w:rFonts w:ascii="Arial" w:hAnsi="Arial" w:cs="Arial"/>
          <w:sz w:val="22"/>
          <w:szCs w:val="22"/>
        </w:rPr>
        <w:t>'s ability to apply tax issues to their area of responsibility.</w:t>
      </w:r>
    </w:p>
    <w:p w:rsidR="00C80161" w:rsidRPr="000D54E5" w:rsidRDefault="00C80161" w:rsidP="005408CC">
      <w:pPr>
        <w:jc w:val="both"/>
        <w:rPr>
          <w:rFonts w:ascii="Arial" w:hAnsi="Arial" w:cs="Arial"/>
          <w:sz w:val="22"/>
          <w:szCs w:val="22"/>
        </w:rPr>
      </w:pPr>
    </w:p>
    <w:tbl>
      <w:tblPr>
        <w:tblW w:w="8628" w:type="dxa"/>
        <w:tblInd w:w="840" w:type="dxa"/>
        <w:tblLayout w:type="fixed"/>
        <w:tblLook w:val="0000" w:firstRow="0" w:lastRow="0" w:firstColumn="0" w:lastColumn="0" w:noHBand="0" w:noVBand="0"/>
      </w:tblPr>
      <w:tblGrid>
        <w:gridCol w:w="2418"/>
        <w:gridCol w:w="360"/>
        <w:gridCol w:w="5850"/>
      </w:tblGrid>
      <w:tr w:rsidR="00C80161" w:rsidRPr="000D54E5">
        <w:tc>
          <w:tcPr>
            <w:tcW w:w="2418"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t>Types of Income</w:t>
            </w:r>
          </w:p>
          <w:p w:rsidR="001C6B2F" w:rsidRPr="000D54E5" w:rsidRDefault="001C6B2F" w:rsidP="005408CC">
            <w:pPr>
              <w:jc w:val="both"/>
              <w:rPr>
                <w:rFonts w:ascii="Arial" w:hAnsi="Arial" w:cs="Arial"/>
                <w:sz w:val="22"/>
                <w:szCs w:val="22"/>
              </w:rPr>
            </w:pPr>
          </w:p>
        </w:tc>
        <w:tc>
          <w:tcPr>
            <w:tcW w:w="360"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noBreakHyphen/>
            </w:r>
          </w:p>
        </w:tc>
        <w:tc>
          <w:tcPr>
            <w:tcW w:w="5850" w:type="dxa"/>
          </w:tcPr>
          <w:p w:rsidR="00C80161" w:rsidRPr="000D54E5" w:rsidRDefault="0057471B" w:rsidP="00BC44CB">
            <w:pPr>
              <w:jc w:val="both"/>
              <w:rPr>
                <w:rFonts w:ascii="Arial" w:hAnsi="Arial" w:cs="Arial"/>
                <w:sz w:val="22"/>
                <w:szCs w:val="22"/>
              </w:rPr>
            </w:pPr>
            <w:r w:rsidRPr="000D54E5">
              <w:rPr>
                <w:rFonts w:ascii="Arial" w:hAnsi="Arial" w:cs="Arial"/>
                <w:sz w:val="22"/>
                <w:szCs w:val="22"/>
              </w:rPr>
              <w:t xml:space="preserve">Employment, </w:t>
            </w:r>
            <w:r w:rsidR="00BC44CB">
              <w:rPr>
                <w:rFonts w:ascii="Arial" w:hAnsi="Arial" w:cs="Arial"/>
                <w:sz w:val="22"/>
                <w:szCs w:val="22"/>
              </w:rPr>
              <w:t>B</w:t>
            </w:r>
            <w:r w:rsidR="00BC44CB" w:rsidRPr="000D54E5">
              <w:rPr>
                <w:rFonts w:ascii="Arial" w:hAnsi="Arial" w:cs="Arial"/>
                <w:sz w:val="22"/>
                <w:szCs w:val="22"/>
              </w:rPr>
              <w:t>usiness</w:t>
            </w:r>
            <w:r w:rsidR="00C80161" w:rsidRPr="000D54E5">
              <w:rPr>
                <w:rFonts w:ascii="Arial" w:hAnsi="Arial" w:cs="Arial"/>
                <w:sz w:val="22"/>
                <w:szCs w:val="22"/>
              </w:rPr>
              <w:t xml:space="preserve">, </w:t>
            </w:r>
            <w:r w:rsidR="00BC44CB">
              <w:rPr>
                <w:rFonts w:ascii="Arial" w:hAnsi="Arial" w:cs="Arial"/>
                <w:sz w:val="22"/>
                <w:szCs w:val="22"/>
              </w:rPr>
              <w:t>P</w:t>
            </w:r>
            <w:r w:rsidR="00BC44CB" w:rsidRPr="000D54E5">
              <w:rPr>
                <w:rFonts w:ascii="Arial" w:hAnsi="Arial" w:cs="Arial"/>
                <w:sz w:val="22"/>
                <w:szCs w:val="22"/>
              </w:rPr>
              <w:t>roperty</w:t>
            </w:r>
            <w:r w:rsidR="00C80161" w:rsidRPr="000D54E5">
              <w:rPr>
                <w:rFonts w:ascii="Arial" w:hAnsi="Arial" w:cs="Arial"/>
                <w:sz w:val="22"/>
                <w:szCs w:val="22"/>
              </w:rPr>
              <w:t xml:space="preserve">, </w:t>
            </w:r>
            <w:r w:rsidR="00BC44CB">
              <w:rPr>
                <w:rFonts w:ascii="Arial" w:hAnsi="Arial" w:cs="Arial"/>
                <w:sz w:val="22"/>
                <w:szCs w:val="22"/>
              </w:rPr>
              <w:t>C</w:t>
            </w:r>
            <w:r w:rsidR="00BC44CB" w:rsidRPr="000D54E5">
              <w:rPr>
                <w:rFonts w:ascii="Arial" w:hAnsi="Arial" w:cs="Arial"/>
                <w:sz w:val="22"/>
                <w:szCs w:val="22"/>
              </w:rPr>
              <w:t xml:space="preserve">apital </w:t>
            </w:r>
            <w:r w:rsidR="00C80161" w:rsidRPr="000D54E5">
              <w:rPr>
                <w:rFonts w:ascii="Arial" w:hAnsi="Arial" w:cs="Arial"/>
                <w:sz w:val="22"/>
                <w:szCs w:val="22"/>
              </w:rPr>
              <w:t>gains</w:t>
            </w:r>
          </w:p>
        </w:tc>
      </w:tr>
      <w:tr w:rsidR="00C80161" w:rsidRPr="000D54E5">
        <w:tc>
          <w:tcPr>
            <w:tcW w:w="2418"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t>Taxable Entities</w:t>
            </w:r>
          </w:p>
          <w:p w:rsidR="001C6B2F" w:rsidRPr="000D54E5" w:rsidRDefault="001C6B2F" w:rsidP="005408CC">
            <w:pPr>
              <w:jc w:val="both"/>
              <w:rPr>
                <w:rFonts w:ascii="Arial" w:hAnsi="Arial" w:cs="Arial"/>
                <w:sz w:val="22"/>
                <w:szCs w:val="22"/>
              </w:rPr>
            </w:pPr>
          </w:p>
        </w:tc>
        <w:tc>
          <w:tcPr>
            <w:tcW w:w="360"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noBreakHyphen/>
            </w:r>
          </w:p>
        </w:tc>
        <w:tc>
          <w:tcPr>
            <w:tcW w:w="5850" w:type="dxa"/>
          </w:tcPr>
          <w:p w:rsidR="00C80161" w:rsidRPr="000D54E5" w:rsidRDefault="00C80161" w:rsidP="00DD1DDD">
            <w:pPr>
              <w:jc w:val="both"/>
              <w:rPr>
                <w:rFonts w:ascii="Arial" w:hAnsi="Arial" w:cs="Arial"/>
                <w:sz w:val="22"/>
                <w:szCs w:val="22"/>
              </w:rPr>
            </w:pPr>
            <w:r w:rsidRPr="000D54E5">
              <w:rPr>
                <w:rFonts w:ascii="Arial" w:hAnsi="Arial" w:cs="Arial"/>
                <w:sz w:val="22"/>
                <w:szCs w:val="22"/>
              </w:rPr>
              <w:t>Individual</w:t>
            </w:r>
            <w:r w:rsidR="001C6B2F" w:rsidRPr="000D54E5">
              <w:rPr>
                <w:rFonts w:ascii="Arial" w:hAnsi="Arial" w:cs="Arial"/>
                <w:sz w:val="22"/>
                <w:szCs w:val="22"/>
              </w:rPr>
              <w:t xml:space="preserve">s, </w:t>
            </w:r>
            <w:r w:rsidR="00DD1DDD">
              <w:rPr>
                <w:rFonts w:ascii="Arial" w:hAnsi="Arial" w:cs="Arial"/>
                <w:sz w:val="22"/>
                <w:szCs w:val="22"/>
              </w:rPr>
              <w:t>C</w:t>
            </w:r>
            <w:r w:rsidR="00DD1DDD" w:rsidRPr="000D54E5">
              <w:rPr>
                <w:rFonts w:ascii="Arial" w:hAnsi="Arial" w:cs="Arial"/>
                <w:sz w:val="22"/>
                <w:szCs w:val="22"/>
              </w:rPr>
              <w:t>orporations</w:t>
            </w:r>
            <w:r w:rsidR="001C6B2F" w:rsidRPr="000D54E5">
              <w:rPr>
                <w:rFonts w:ascii="Arial" w:hAnsi="Arial" w:cs="Arial"/>
                <w:sz w:val="22"/>
                <w:szCs w:val="22"/>
              </w:rPr>
              <w:t xml:space="preserve">, </w:t>
            </w:r>
            <w:r w:rsidR="00DD1DDD">
              <w:rPr>
                <w:rFonts w:ascii="Arial" w:hAnsi="Arial" w:cs="Arial"/>
                <w:sz w:val="22"/>
                <w:szCs w:val="22"/>
              </w:rPr>
              <w:t>T</w:t>
            </w:r>
            <w:r w:rsidR="00DD1DDD" w:rsidRPr="000D54E5">
              <w:rPr>
                <w:rFonts w:ascii="Arial" w:hAnsi="Arial" w:cs="Arial"/>
                <w:sz w:val="22"/>
                <w:szCs w:val="22"/>
              </w:rPr>
              <w:t>rusts</w:t>
            </w:r>
          </w:p>
        </w:tc>
      </w:tr>
      <w:tr w:rsidR="00C80161" w:rsidRPr="000D54E5">
        <w:tc>
          <w:tcPr>
            <w:tcW w:w="2418"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t>Alternative Business</w:t>
            </w:r>
          </w:p>
        </w:tc>
        <w:tc>
          <w:tcPr>
            <w:tcW w:w="360" w:type="dxa"/>
          </w:tcPr>
          <w:p w:rsidR="00C80161" w:rsidRPr="000D54E5" w:rsidRDefault="001C6B2F" w:rsidP="005408CC">
            <w:pPr>
              <w:jc w:val="both"/>
              <w:rPr>
                <w:rFonts w:ascii="Arial" w:hAnsi="Arial" w:cs="Arial"/>
                <w:sz w:val="22"/>
                <w:szCs w:val="22"/>
              </w:rPr>
            </w:pPr>
            <w:r w:rsidRPr="000D54E5">
              <w:rPr>
                <w:rFonts w:ascii="Arial" w:hAnsi="Arial" w:cs="Arial"/>
                <w:sz w:val="22"/>
                <w:szCs w:val="22"/>
              </w:rPr>
              <w:noBreakHyphen/>
            </w:r>
          </w:p>
        </w:tc>
        <w:tc>
          <w:tcPr>
            <w:tcW w:w="5850" w:type="dxa"/>
          </w:tcPr>
          <w:p w:rsidR="00C80161" w:rsidRPr="000D54E5" w:rsidRDefault="001C6B2F" w:rsidP="00BC44CB">
            <w:pPr>
              <w:jc w:val="both"/>
              <w:rPr>
                <w:rFonts w:ascii="Arial" w:hAnsi="Arial" w:cs="Arial"/>
                <w:sz w:val="22"/>
                <w:szCs w:val="22"/>
              </w:rPr>
            </w:pPr>
            <w:r w:rsidRPr="000D54E5">
              <w:rPr>
                <w:rFonts w:ascii="Arial" w:hAnsi="Arial" w:cs="Arial"/>
                <w:sz w:val="22"/>
                <w:szCs w:val="22"/>
              </w:rPr>
              <w:t xml:space="preserve">Corporation, </w:t>
            </w:r>
            <w:r w:rsidR="00BC44CB">
              <w:rPr>
                <w:rFonts w:ascii="Arial" w:hAnsi="Arial" w:cs="Arial"/>
                <w:sz w:val="22"/>
                <w:szCs w:val="22"/>
              </w:rPr>
              <w:t>P</w:t>
            </w:r>
            <w:r w:rsidR="00BC44CB" w:rsidRPr="000D54E5">
              <w:rPr>
                <w:rFonts w:ascii="Arial" w:hAnsi="Arial" w:cs="Arial"/>
                <w:sz w:val="22"/>
                <w:szCs w:val="22"/>
              </w:rPr>
              <w:t>roprietorship</w:t>
            </w:r>
            <w:r w:rsidRPr="000D54E5">
              <w:rPr>
                <w:rFonts w:ascii="Arial" w:hAnsi="Arial" w:cs="Arial"/>
                <w:sz w:val="22"/>
                <w:szCs w:val="22"/>
              </w:rPr>
              <w:t xml:space="preserve">, </w:t>
            </w:r>
            <w:r w:rsidR="00BC44CB">
              <w:rPr>
                <w:rFonts w:ascii="Arial" w:hAnsi="Arial" w:cs="Arial"/>
                <w:sz w:val="22"/>
                <w:szCs w:val="22"/>
              </w:rPr>
              <w:t>P</w:t>
            </w:r>
            <w:r w:rsidR="00BC44CB" w:rsidRPr="000D54E5">
              <w:rPr>
                <w:rFonts w:ascii="Arial" w:hAnsi="Arial" w:cs="Arial"/>
                <w:sz w:val="22"/>
                <w:szCs w:val="22"/>
              </w:rPr>
              <w:t>artnership</w:t>
            </w:r>
            <w:r w:rsidRPr="000D54E5">
              <w:rPr>
                <w:rFonts w:ascii="Arial" w:hAnsi="Arial" w:cs="Arial"/>
                <w:sz w:val="22"/>
                <w:szCs w:val="22"/>
              </w:rPr>
              <w:t xml:space="preserve">, </w:t>
            </w:r>
            <w:r w:rsidR="00BC44CB">
              <w:rPr>
                <w:rFonts w:ascii="Arial" w:hAnsi="Arial" w:cs="Arial"/>
                <w:sz w:val="22"/>
                <w:szCs w:val="22"/>
              </w:rPr>
              <w:t>L</w:t>
            </w:r>
            <w:r w:rsidR="00BC44CB" w:rsidRPr="000D54E5">
              <w:rPr>
                <w:rFonts w:ascii="Arial" w:hAnsi="Arial" w:cs="Arial"/>
                <w:sz w:val="22"/>
                <w:szCs w:val="22"/>
              </w:rPr>
              <w:t>imited</w:t>
            </w:r>
          </w:p>
        </w:tc>
      </w:tr>
      <w:tr w:rsidR="00C80161" w:rsidRPr="000D54E5">
        <w:tc>
          <w:tcPr>
            <w:tcW w:w="2418" w:type="dxa"/>
          </w:tcPr>
          <w:p w:rsidR="00C80161" w:rsidRPr="000D54E5" w:rsidRDefault="00C80161" w:rsidP="005408CC">
            <w:pPr>
              <w:jc w:val="both"/>
              <w:rPr>
                <w:rFonts w:ascii="Arial" w:hAnsi="Arial" w:cs="Arial"/>
                <w:sz w:val="22"/>
                <w:szCs w:val="22"/>
              </w:rPr>
            </w:pPr>
            <w:r w:rsidRPr="000D54E5">
              <w:rPr>
                <w:rFonts w:ascii="Courier New" w:hAnsi="Courier New" w:cs="Arial"/>
                <w:sz w:val="22"/>
                <w:szCs w:val="22"/>
              </w:rPr>
              <w:t> </w:t>
            </w:r>
            <w:r w:rsidRPr="000D54E5">
              <w:rPr>
                <w:rFonts w:ascii="Courier New" w:hAnsi="Courier New" w:cs="Arial"/>
                <w:sz w:val="22"/>
                <w:szCs w:val="22"/>
              </w:rPr>
              <w:t> </w:t>
            </w:r>
            <w:r w:rsidRPr="000D54E5">
              <w:rPr>
                <w:rFonts w:ascii="Arial" w:hAnsi="Arial" w:cs="Arial"/>
                <w:sz w:val="22"/>
                <w:szCs w:val="22"/>
              </w:rPr>
              <w:t>Structures</w:t>
            </w:r>
          </w:p>
          <w:p w:rsidR="001C6B2F" w:rsidRPr="000D54E5" w:rsidRDefault="001C6B2F" w:rsidP="005408CC">
            <w:pPr>
              <w:jc w:val="both"/>
              <w:rPr>
                <w:rFonts w:ascii="Arial" w:hAnsi="Arial" w:cs="Arial"/>
                <w:sz w:val="22"/>
                <w:szCs w:val="22"/>
              </w:rPr>
            </w:pPr>
          </w:p>
        </w:tc>
        <w:tc>
          <w:tcPr>
            <w:tcW w:w="360" w:type="dxa"/>
          </w:tcPr>
          <w:p w:rsidR="00C80161" w:rsidRPr="000D54E5" w:rsidRDefault="00C80161" w:rsidP="005408CC">
            <w:pPr>
              <w:jc w:val="both"/>
              <w:rPr>
                <w:rFonts w:ascii="Arial" w:hAnsi="Arial" w:cs="Arial"/>
                <w:sz w:val="22"/>
                <w:szCs w:val="22"/>
              </w:rPr>
            </w:pPr>
          </w:p>
        </w:tc>
        <w:tc>
          <w:tcPr>
            <w:tcW w:w="5850" w:type="dxa"/>
          </w:tcPr>
          <w:p w:rsidR="00C80161" w:rsidRPr="000D54E5" w:rsidRDefault="00C80161" w:rsidP="00F33D17">
            <w:pPr>
              <w:rPr>
                <w:rFonts w:ascii="Arial" w:hAnsi="Arial" w:cs="Arial"/>
                <w:sz w:val="22"/>
                <w:szCs w:val="22"/>
              </w:rPr>
            </w:pPr>
            <w:r w:rsidRPr="000D54E5">
              <w:rPr>
                <w:rFonts w:ascii="Arial" w:hAnsi="Arial" w:cs="Arial"/>
                <w:sz w:val="22"/>
                <w:szCs w:val="22"/>
              </w:rPr>
              <w:t xml:space="preserve">partnership, </w:t>
            </w:r>
            <w:r w:rsidR="00BC44CB">
              <w:rPr>
                <w:rFonts w:ascii="Arial" w:hAnsi="Arial" w:cs="Arial"/>
                <w:sz w:val="22"/>
                <w:szCs w:val="22"/>
              </w:rPr>
              <w:t>J</w:t>
            </w:r>
            <w:r w:rsidR="00BC44CB" w:rsidRPr="000D54E5">
              <w:rPr>
                <w:rFonts w:ascii="Arial" w:hAnsi="Arial" w:cs="Arial"/>
                <w:sz w:val="22"/>
                <w:szCs w:val="22"/>
              </w:rPr>
              <w:t xml:space="preserve">oint </w:t>
            </w:r>
            <w:r w:rsidR="00F33D17">
              <w:rPr>
                <w:rFonts w:ascii="Arial" w:hAnsi="Arial" w:cs="Arial"/>
                <w:sz w:val="22"/>
                <w:szCs w:val="22"/>
              </w:rPr>
              <w:t>arrangement</w:t>
            </w:r>
            <w:r w:rsidR="00A131FC" w:rsidRPr="000D54E5">
              <w:rPr>
                <w:rFonts w:ascii="Arial" w:hAnsi="Arial" w:cs="Arial"/>
                <w:sz w:val="22"/>
                <w:szCs w:val="22"/>
              </w:rPr>
              <w:t xml:space="preserve">, </w:t>
            </w:r>
            <w:r w:rsidR="00BC44CB">
              <w:rPr>
                <w:rFonts w:ascii="Arial" w:hAnsi="Arial" w:cs="Arial"/>
                <w:sz w:val="22"/>
                <w:szCs w:val="22"/>
              </w:rPr>
              <w:t>I</w:t>
            </w:r>
            <w:r w:rsidR="00BC44CB" w:rsidRPr="000D54E5">
              <w:rPr>
                <w:rFonts w:ascii="Arial" w:hAnsi="Arial" w:cs="Arial"/>
                <w:sz w:val="22"/>
                <w:szCs w:val="22"/>
              </w:rPr>
              <w:t xml:space="preserve">ncome </w:t>
            </w:r>
            <w:r w:rsidR="00A131FC" w:rsidRPr="000D54E5">
              <w:rPr>
                <w:rFonts w:ascii="Arial" w:hAnsi="Arial" w:cs="Arial"/>
                <w:sz w:val="22"/>
                <w:szCs w:val="22"/>
              </w:rPr>
              <w:t>trust</w:t>
            </w:r>
          </w:p>
        </w:tc>
      </w:tr>
      <w:tr w:rsidR="00C80161" w:rsidRPr="000D54E5">
        <w:tc>
          <w:tcPr>
            <w:tcW w:w="2418"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t>Tax Jurisdictions</w:t>
            </w:r>
          </w:p>
        </w:tc>
        <w:tc>
          <w:tcPr>
            <w:tcW w:w="360" w:type="dxa"/>
          </w:tcPr>
          <w:p w:rsidR="00C80161" w:rsidRPr="000D54E5" w:rsidRDefault="00C80161" w:rsidP="005408CC">
            <w:pPr>
              <w:jc w:val="both"/>
              <w:rPr>
                <w:rFonts w:ascii="Arial" w:hAnsi="Arial" w:cs="Arial"/>
                <w:sz w:val="22"/>
                <w:szCs w:val="22"/>
              </w:rPr>
            </w:pPr>
            <w:r w:rsidRPr="000D54E5">
              <w:rPr>
                <w:rFonts w:ascii="Arial" w:hAnsi="Arial" w:cs="Arial"/>
                <w:sz w:val="22"/>
                <w:szCs w:val="22"/>
              </w:rPr>
              <w:noBreakHyphen/>
            </w:r>
          </w:p>
        </w:tc>
        <w:tc>
          <w:tcPr>
            <w:tcW w:w="5850" w:type="dxa"/>
          </w:tcPr>
          <w:p w:rsidR="00C80161" w:rsidRPr="000D54E5" w:rsidRDefault="00C80161" w:rsidP="00BC44CB">
            <w:pPr>
              <w:jc w:val="both"/>
              <w:rPr>
                <w:rFonts w:ascii="Arial" w:hAnsi="Arial" w:cs="Arial"/>
                <w:sz w:val="22"/>
                <w:szCs w:val="22"/>
              </w:rPr>
            </w:pPr>
            <w:r w:rsidRPr="000D54E5">
              <w:rPr>
                <w:rFonts w:ascii="Arial" w:hAnsi="Arial" w:cs="Arial"/>
                <w:sz w:val="22"/>
                <w:szCs w:val="22"/>
              </w:rPr>
              <w:t xml:space="preserve">Federal, </w:t>
            </w:r>
            <w:r w:rsidR="00BC44CB">
              <w:rPr>
                <w:rFonts w:ascii="Arial" w:hAnsi="Arial" w:cs="Arial"/>
                <w:sz w:val="22"/>
                <w:szCs w:val="22"/>
              </w:rPr>
              <w:t>P</w:t>
            </w:r>
            <w:r w:rsidR="00BC44CB" w:rsidRPr="000D54E5">
              <w:rPr>
                <w:rFonts w:ascii="Arial" w:hAnsi="Arial" w:cs="Arial"/>
                <w:sz w:val="22"/>
                <w:szCs w:val="22"/>
              </w:rPr>
              <w:t>rovincial</w:t>
            </w:r>
            <w:r w:rsidRPr="000D54E5">
              <w:rPr>
                <w:rFonts w:ascii="Arial" w:hAnsi="Arial" w:cs="Arial"/>
                <w:sz w:val="22"/>
                <w:szCs w:val="22"/>
              </w:rPr>
              <w:t xml:space="preserve">, </w:t>
            </w:r>
            <w:r w:rsidR="00BC44CB">
              <w:rPr>
                <w:rFonts w:ascii="Arial" w:hAnsi="Arial" w:cs="Arial"/>
                <w:sz w:val="22"/>
                <w:szCs w:val="22"/>
              </w:rPr>
              <w:t>F</w:t>
            </w:r>
            <w:r w:rsidR="00BC44CB" w:rsidRPr="000D54E5">
              <w:rPr>
                <w:rFonts w:ascii="Arial" w:hAnsi="Arial" w:cs="Arial"/>
                <w:sz w:val="22"/>
                <w:szCs w:val="22"/>
              </w:rPr>
              <w:t>oreign</w:t>
            </w:r>
          </w:p>
        </w:tc>
      </w:tr>
    </w:tbl>
    <w:p w:rsidR="00C80161" w:rsidRPr="000D54E5" w:rsidRDefault="00C80161" w:rsidP="005408CC">
      <w:pPr>
        <w:pStyle w:val="FH"/>
        <w:jc w:val="both"/>
        <w:rPr>
          <w:rFonts w:ascii="Arial" w:hAnsi="Arial" w:cs="Arial"/>
          <w:sz w:val="22"/>
          <w:szCs w:val="22"/>
        </w:rPr>
      </w:pPr>
    </w:p>
    <w:p w:rsidR="00C80161" w:rsidRPr="000D54E5" w:rsidRDefault="00E018CA" w:rsidP="005408CC">
      <w:pPr>
        <w:pStyle w:val="FH"/>
        <w:jc w:val="both"/>
        <w:rPr>
          <w:rFonts w:ascii="Arial" w:hAnsi="Arial" w:cs="Arial"/>
          <w:sz w:val="22"/>
          <w:szCs w:val="22"/>
        </w:rPr>
      </w:pPr>
      <w:r w:rsidRPr="000D54E5">
        <w:rPr>
          <w:rFonts w:ascii="Arial" w:hAnsi="Arial" w:cs="Arial"/>
          <w:sz w:val="22"/>
          <w:szCs w:val="22"/>
        </w:rPr>
        <w:t>R1-</w:t>
      </w:r>
      <w:r w:rsidR="001C6B2F" w:rsidRPr="000D54E5">
        <w:rPr>
          <w:rFonts w:ascii="Arial" w:hAnsi="Arial" w:cs="Arial"/>
          <w:sz w:val="22"/>
          <w:szCs w:val="22"/>
        </w:rPr>
        <w:t>4</w:t>
      </w:r>
      <w:r w:rsidR="00C80161" w:rsidRPr="000D54E5">
        <w:rPr>
          <w:rFonts w:ascii="Arial" w:hAnsi="Arial" w:cs="Arial"/>
          <w:sz w:val="22"/>
          <w:szCs w:val="22"/>
        </w:rPr>
        <w:tab/>
        <w:t>All</w:t>
      </w:r>
      <w:r w:rsidR="00DD1DDD">
        <w:rPr>
          <w:rFonts w:ascii="Arial" w:hAnsi="Arial" w:cs="Arial"/>
          <w:sz w:val="22"/>
          <w:szCs w:val="22"/>
        </w:rPr>
        <w:t xml:space="preserve"> </w:t>
      </w:r>
      <w:r w:rsidR="004B0BE5">
        <w:rPr>
          <w:rFonts w:ascii="Arial" w:hAnsi="Arial" w:cs="Arial"/>
          <w:sz w:val="22"/>
          <w:szCs w:val="22"/>
        </w:rPr>
        <w:t>cash flow decisions</w:t>
      </w:r>
      <w:r w:rsidR="00C80161" w:rsidRPr="000D54E5">
        <w:rPr>
          <w:rFonts w:ascii="Arial" w:hAnsi="Arial" w:cs="Arial"/>
          <w:sz w:val="22"/>
          <w:szCs w:val="22"/>
        </w:rPr>
        <w:t xml:space="preserve">, whether </w:t>
      </w:r>
      <w:r w:rsidR="004B0BE5" w:rsidRPr="000D54E5">
        <w:rPr>
          <w:rFonts w:ascii="Arial" w:hAnsi="Arial" w:cs="Arial"/>
          <w:sz w:val="22"/>
          <w:szCs w:val="22"/>
        </w:rPr>
        <w:t>relate</w:t>
      </w:r>
      <w:r w:rsidR="004B0BE5">
        <w:rPr>
          <w:rFonts w:ascii="Arial" w:hAnsi="Arial" w:cs="Arial"/>
          <w:sz w:val="22"/>
          <w:szCs w:val="22"/>
        </w:rPr>
        <w:t>d</w:t>
      </w:r>
      <w:r w:rsidR="004B0BE5" w:rsidRPr="000D54E5">
        <w:rPr>
          <w:rFonts w:ascii="Arial" w:hAnsi="Arial" w:cs="Arial"/>
          <w:sz w:val="22"/>
          <w:szCs w:val="22"/>
        </w:rPr>
        <w:t xml:space="preserve"> </w:t>
      </w:r>
      <w:r w:rsidR="00C80161" w:rsidRPr="000D54E5">
        <w:rPr>
          <w:rFonts w:ascii="Arial" w:hAnsi="Arial" w:cs="Arial"/>
          <w:sz w:val="22"/>
          <w:szCs w:val="22"/>
        </w:rPr>
        <w:t xml:space="preserve">to revenues, expenses, asset acquisitions or divestitures, or debt and equity restructuring, will impact the amount and timing of the tax cost. Therefore, cash flow exists only on an </w:t>
      </w:r>
      <w:r w:rsidR="00DD1DDD" w:rsidRPr="000D54E5">
        <w:rPr>
          <w:rFonts w:ascii="Arial" w:hAnsi="Arial" w:cs="Arial"/>
          <w:sz w:val="22"/>
          <w:szCs w:val="22"/>
        </w:rPr>
        <w:t>after tax</w:t>
      </w:r>
      <w:r w:rsidR="00C80161" w:rsidRPr="000D54E5">
        <w:rPr>
          <w:rFonts w:ascii="Arial" w:hAnsi="Arial" w:cs="Arial"/>
          <w:sz w:val="22"/>
          <w:szCs w:val="22"/>
        </w:rPr>
        <w:t xml:space="preserve"> basis</w:t>
      </w:r>
      <w:r w:rsidR="000A10E9">
        <w:rPr>
          <w:rFonts w:ascii="Arial" w:hAnsi="Arial" w:cs="Arial"/>
          <w:sz w:val="22"/>
          <w:szCs w:val="22"/>
        </w:rPr>
        <w:t>,</w:t>
      </w:r>
      <w:r w:rsidR="00C80161" w:rsidRPr="000D54E5">
        <w:rPr>
          <w:rFonts w:ascii="Arial" w:hAnsi="Arial" w:cs="Arial"/>
          <w:sz w:val="22"/>
          <w:szCs w:val="22"/>
        </w:rPr>
        <w:t xml:space="preserve"> and</w:t>
      </w:r>
      <w:r w:rsidR="000A10E9">
        <w:rPr>
          <w:rFonts w:ascii="Arial" w:hAnsi="Arial" w:cs="Arial"/>
          <w:sz w:val="22"/>
          <w:szCs w:val="22"/>
        </w:rPr>
        <w:t xml:space="preserve">, the </w:t>
      </w:r>
      <w:r w:rsidR="004B0BE5">
        <w:rPr>
          <w:rFonts w:ascii="Arial" w:hAnsi="Arial" w:cs="Arial"/>
          <w:sz w:val="22"/>
          <w:szCs w:val="22"/>
        </w:rPr>
        <w:t xml:space="preserve">tax </w:t>
      </w:r>
      <w:r w:rsidR="00C80161" w:rsidRPr="000D54E5">
        <w:rPr>
          <w:rFonts w:ascii="Arial" w:hAnsi="Arial" w:cs="Arial"/>
          <w:sz w:val="22"/>
          <w:szCs w:val="22"/>
        </w:rPr>
        <w:t>impact</w:t>
      </w:r>
      <w:r w:rsidR="004B0BE5">
        <w:rPr>
          <w:rFonts w:ascii="Arial" w:hAnsi="Arial" w:cs="Arial"/>
          <w:sz w:val="22"/>
          <w:szCs w:val="22"/>
        </w:rPr>
        <w:t xml:space="preserve">s </w:t>
      </w:r>
      <w:r w:rsidR="00C80161" w:rsidRPr="000D54E5">
        <w:rPr>
          <w:rFonts w:ascii="Arial" w:hAnsi="Arial" w:cs="Arial"/>
          <w:sz w:val="22"/>
          <w:szCs w:val="22"/>
        </w:rPr>
        <w:t>whether or not the ultimate result of the decision is successful. An after</w:t>
      </w:r>
      <w:r w:rsidR="00C80161" w:rsidRPr="000D54E5">
        <w:rPr>
          <w:rFonts w:ascii="Arial" w:hAnsi="Arial" w:cs="Arial"/>
          <w:sz w:val="22"/>
          <w:szCs w:val="22"/>
        </w:rPr>
        <w:noBreakHyphen/>
        <w:t>tax approach to decision</w:t>
      </w:r>
      <w:r w:rsidR="00C80161" w:rsidRPr="000D54E5">
        <w:rPr>
          <w:rFonts w:ascii="Arial" w:hAnsi="Arial" w:cs="Arial"/>
          <w:sz w:val="22"/>
          <w:szCs w:val="22"/>
        </w:rPr>
        <w:noBreakHyphen/>
        <w:t>making requires each decision</w:t>
      </w:r>
      <w:r w:rsidR="00C80161" w:rsidRPr="000D54E5">
        <w:rPr>
          <w:rFonts w:ascii="Arial" w:hAnsi="Arial" w:cs="Arial"/>
          <w:sz w:val="22"/>
          <w:szCs w:val="22"/>
        </w:rPr>
        <w:noBreakHyphen/>
        <w:t>maker to think "after</w:t>
      </w:r>
      <w:r w:rsidR="00C80161" w:rsidRPr="000D54E5">
        <w:rPr>
          <w:rFonts w:ascii="Arial" w:hAnsi="Arial" w:cs="Arial"/>
          <w:sz w:val="22"/>
          <w:szCs w:val="22"/>
        </w:rPr>
        <w:noBreakHyphen/>
        <w:t>tax" for every decision at the time the decision is being made</w:t>
      </w:r>
      <w:r w:rsidR="00DD1DDD">
        <w:rPr>
          <w:rFonts w:ascii="Arial" w:hAnsi="Arial" w:cs="Arial"/>
          <w:sz w:val="22"/>
          <w:szCs w:val="22"/>
        </w:rPr>
        <w:t>,</w:t>
      </w:r>
      <w:r w:rsidR="00C80161" w:rsidRPr="000D54E5">
        <w:rPr>
          <w:rFonts w:ascii="Arial" w:hAnsi="Arial" w:cs="Arial"/>
          <w:sz w:val="22"/>
          <w:szCs w:val="22"/>
        </w:rPr>
        <w:t xml:space="preserve"> and</w:t>
      </w:r>
      <w:r w:rsidR="00DD1DDD">
        <w:rPr>
          <w:rFonts w:ascii="Arial" w:hAnsi="Arial" w:cs="Arial"/>
          <w:sz w:val="22"/>
          <w:szCs w:val="22"/>
        </w:rPr>
        <w:t>,</w:t>
      </w:r>
      <w:r w:rsidR="00C80161" w:rsidRPr="000D54E5">
        <w:rPr>
          <w:rFonts w:ascii="Arial" w:hAnsi="Arial" w:cs="Arial"/>
          <w:sz w:val="22"/>
          <w:szCs w:val="22"/>
        </w:rPr>
        <w:t xml:space="preserve"> to consider alternative courses of action to minimize the tax cost, in the same way that decisions are made regarding other types of costs.</w:t>
      </w:r>
    </w:p>
    <w:p w:rsidR="00C80161" w:rsidRPr="000D54E5" w:rsidRDefault="00C80161" w:rsidP="005408CC">
      <w:pPr>
        <w:pStyle w:val="FH"/>
        <w:jc w:val="both"/>
        <w:rPr>
          <w:rFonts w:ascii="Arial" w:hAnsi="Arial" w:cs="Arial"/>
          <w:sz w:val="22"/>
          <w:szCs w:val="22"/>
        </w:rPr>
      </w:pPr>
    </w:p>
    <w:p w:rsidR="00C80161" w:rsidRPr="000D54E5" w:rsidRDefault="00C80161" w:rsidP="005408CC">
      <w:pPr>
        <w:pStyle w:val="FH"/>
        <w:jc w:val="both"/>
        <w:rPr>
          <w:rFonts w:ascii="Arial" w:hAnsi="Arial" w:cs="Arial"/>
          <w:sz w:val="22"/>
          <w:szCs w:val="22"/>
        </w:rPr>
        <w:sectPr w:rsidR="00C80161" w:rsidRPr="000D54E5" w:rsidSect="00BF7CE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720" w:right="965" w:bottom="720" w:left="1915" w:header="720" w:footer="605" w:gutter="0"/>
          <w:pgNumType w:start="1" w:chapStyle="1"/>
          <w:cols w:space="720"/>
          <w:noEndnote/>
        </w:sectPr>
      </w:pPr>
    </w:p>
    <w:p w:rsidR="00EB72F7" w:rsidRPr="000D54E5" w:rsidRDefault="00C80161" w:rsidP="005408CC">
      <w:pPr>
        <w:pStyle w:val="FH"/>
        <w:jc w:val="both"/>
        <w:rPr>
          <w:rFonts w:ascii="Arial" w:hAnsi="Arial" w:cs="Arial"/>
          <w:sz w:val="22"/>
          <w:szCs w:val="22"/>
        </w:rPr>
      </w:pPr>
      <w:r w:rsidRPr="000D54E5">
        <w:rPr>
          <w:rFonts w:ascii="Arial" w:hAnsi="Arial" w:cs="Arial"/>
          <w:sz w:val="22"/>
          <w:szCs w:val="22"/>
        </w:rPr>
        <w:t xml:space="preserve"> </w:t>
      </w:r>
      <w:r w:rsidRPr="000D54E5">
        <w:rPr>
          <w:rFonts w:ascii="Arial" w:hAnsi="Arial" w:cs="Arial"/>
          <w:sz w:val="22"/>
          <w:szCs w:val="22"/>
        </w:rPr>
        <w:tab/>
        <w:t>Failure to apply an after</w:t>
      </w:r>
      <w:r w:rsidRPr="000D54E5">
        <w:rPr>
          <w:rFonts w:ascii="Arial" w:hAnsi="Arial" w:cs="Arial"/>
          <w:sz w:val="22"/>
          <w:szCs w:val="22"/>
        </w:rPr>
        <w:noBreakHyphen/>
        <w:t xml:space="preserve">tax approach at the time decisions are made may </w:t>
      </w:r>
      <w:r w:rsidR="000A10E9" w:rsidRPr="000D54E5">
        <w:rPr>
          <w:rFonts w:ascii="Arial" w:hAnsi="Arial" w:cs="Arial"/>
          <w:sz w:val="22"/>
          <w:szCs w:val="22"/>
        </w:rPr>
        <w:t>provide inaccurate information for evaluation</w:t>
      </w:r>
      <w:r w:rsidR="000A10E9">
        <w:rPr>
          <w:rFonts w:ascii="Arial" w:hAnsi="Arial" w:cs="Arial"/>
          <w:sz w:val="22"/>
          <w:szCs w:val="22"/>
        </w:rPr>
        <w:t>, and,</w:t>
      </w:r>
      <w:r w:rsidR="000A10E9" w:rsidRPr="000D54E5">
        <w:rPr>
          <w:rFonts w:ascii="Arial" w:hAnsi="Arial" w:cs="Arial"/>
          <w:sz w:val="22"/>
          <w:szCs w:val="22"/>
        </w:rPr>
        <w:t xml:space="preserve"> </w:t>
      </w:r>
      <w:r w:rsidRPr="000D54E5">
        <w:rPr>
          <w:rFonts w:ascii="Arial" w:hAnsi="Arial" w:cs="Arial"/>
          <w:sz w:val="22"/>
          <w:szCs w:val="22"/>
        </w:rPr>
        <w:t>result in a permanently inefficient tax structure.</w:t>
      </w:r>
    </w:p>
    <w:sectPr w:rsidR="00EB72F7" w:rsidRPr="000D54E5">
      <w:endnotePr>
        <w:numFmt w:val="decimal"/>
      </w:endnotePr>
      <w:type w:val="continuous"/>
      <w:pgSz w:w="12240" w:h="15840"/>
      <w:pgMar w:top="720" w:right="960" w:bottom="720" w:left="1920" w:header="720" w:footer="6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FD2" w:rsidRDefault="00787FD2">
      <w:r>
        <w:separator/>
      </w:r>
    </w:p>
  </w:endnote>
  <w:endnote w:type="continuationSeparator" w:id="0">
    <w:p w:rsidR="00787FD2" w:rsidRDefault="0078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E1" w:rsidRDefault="00BF7CE1" w:rsidP="00636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CE1" w:rsidRDefault="00BF7CE1" w:rsidP="007E72F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E1" w:rsidRPr="00811ACA" w:rsidRDefault="00BF7CE1" w:rsidP="00413610">
    <w:pPr>
      <w:pStyle w:val="Footer"/>
      <w:framePr w:wrap="around" w:vAnchor="text" w:hAnchor="margin" w:xAlign="right" w:y="1"/>
      <w:rPr>
        <w:rStyle w:val="PageNumber"/>
        <w:sz w:val="20"/>
      </w:rPr>
    </w:pPr>
    <w:r w:rsidRPr="00811ACA">
      <w:rPr>
        <w:rStyle w:val="PageNumber"/>
        <w:sz w:val="20"/>
      </w:rPr>
      <w:fldChar w:fldCharType="begin"/>
    </w:r>
    <w:r w:rsidRPr="00811ACA">
      <w:rPr>
        <w:rStyle w:val="PageNumber"/>
        <w:sz w:val="20"/>
      </w:rPr>
      <w:instrText xml:space="preserve">PAGE  </w:instrText>
    </w:r>
    <w:r w:rsidRPr="00811ACA">
      <w:rPr>
        <w:rStyle w:val="PageNumber"/>
        <w:sz w:val="20"/>
      </w:rPr>
      <w:fldChar w:fldCharType="separate"/>
    </w:r>
    <w:r w:rsidR="000D78E0">
      <w:rPr>
        <w:rStyle w:val="PageNumber"/>
        <w:noProof/>
        <w:sz w:val="20"/>
      </w:rPr>
      <w:t>2</w:t>
    </w:r>
    <w:r w:rsidRPr="00811ACA">
      <w:rPr>
        <w:rStyle w:val="PageNumber"/>
        <w:sz w:val="20"/>
      </w:rPr>
      <w:fldChar w:fldCharType="end"/>
    </w:r>
  </w:p>
  <w:p w:rsidR="00622361" w:rsidRDefault="00622361" w:rsidP="000D78E0">
    <w:pPr>
      <w:spacing w:line="240" w:lineRule="exact"/>
      <w:ind w:right="360"/>
      <w:rPr>
        <w:sz w:val="20"/>
        <w:u w:val="single"/>
      </w:rPr>
    </w:pPr>
    <w:bookmarkStart w:id="0" w:name="_GoBack"/>
    <w:bookmarkEnd w:id="0"/>
    <w:r w:rsidRPr="00B510C4">
      <w:rPr>
        <w:sz w:val="20"/>
        <w:u w:val="single"/>
      </w:rPr>
      <w:t xml:space="preserve">Copyright © </w:t>
    </w:r>
    <w:r>
      <w:rPr>
        <w:sz w:val="20"/>
        <w:u w:val="single"/>
      </w:rPr>
      <w:t>2020</w:t>
    </w:r>
    <w:r w:rsidRPr="00B510C4">
      <w:rPr>
        <w:sz w:val="20"/>
        <w:u w:val="single"/>
      </w:rPr>
      <w:t xml:space="preserve"> McGraw-Hill </w:t>
    </w:r>
    <w:r>
      <w:rPr>
        <w:sz w:val="20"/>
        <w:u w:val="single"/>
      </w:rPr>
      <w:t>Education</w:t>
    </w:r>
    <w:r w:rsidRPr="00B510C4">
      <w:rPr>
        <w:sz w:val="20"/>
        <w:u w:val="single"/>
      </w:rPr>
      <w:t xml:space="preserve"> Ltd. </w:t>
    </w:r>
  </w:p>
  <w:p w:rsidR="00622361" w:rsidRPr="0056488A" w:rsidRDefault="00622361" w:rsidP="000D78E0">
    <w:pPr>
      <w:spacing w:line="240" w:lineRule="exact"/>
      <w:ind w:right="360"/>
      <w:rPr>
        <w:sz w:val="20"/>
        <w:u w:val="single"/>
      </w:rPr>
    </w:pPr>
    <w:r>
      <w:rPr>
        <w:sz w:val="20"/>
      </w:rPr>
      <w:t>Instructor Solutions Manual Chapter One</w:t>
    </w:r>
  </w:p>
  <w:p w:rsidR="00BF7CE1" w:rsidRDefault="00BF7CE1" w:rsidP="000D78E0">
    <w:pPr>
      <w:ind w:left="90" w:right="360" w:hanging="9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C1" w:rsidRDefault="00C91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FD2" w:rsidRDefault="00787FD2">
      <w:r>
        <w:separator/>
      </w:r>
    </w:p>
  </w:footnote>
  <w:footnote w:type="continuationSeparator" w:id="0">
    <w:p w:rsidR="00787FD2" w:rsidRDefault="0078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C1" w:rsidRDefault="00C91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6D2" w:rsidRDefault="006446D2" w:rsidP="006446D2">
    <w:pPr>
      <w:jc w:val="center"/>
      <w:rPr>
        <w:snapToGrid/>
        <w:sz w:val="20"/>
        <w:lang w:val="en-CA"/>
      </w:rPr>
    </w:pPr>
    <w:r>
      <w:rPr>
        <w:sz w:val="20"/>
      </w:rPr>
      <w:t>Buckwold, Kitunen and Roman</w:t>
    </w:r>
    <w:r>
      <w:rPr>
        <w:i/>
        <w:iCs/>
        <w:sz w:val="20"/>
      </w:rPr>
      <w:t xml:space="preserve">, Canadian Income Taxation, </w:t>
    </w:r>
    <w:r w:rsidR="00317F9E">
      <w:rPr>
        <w:sz w:val="20"/>
      </w:rPr>
      <w:t>2020</w:t>
    </w:r>
    <w:r>
      <w:rPr>
        <w:sz w:val="20"/>
      </w:rPr>
      <w:t>-</w:t>
    </w:r>
    <w:r w:rsidR="00317F9E">
      <w:rPr>
        <w:sz w:val="20"/>
      </w:rPr>
      <w:t>2021</w:t>
    </w:r>
    <w:r>
      <w:rPr>
        <w:sz w:val="20"/>
      </w:rPr>
      <w:t xml:space="preserve"> Ed.</w:t>
    </w:r>
  </w:p>
  <w:p w:rsidR="00BF7CE1" w:rsidRPr="007E72F0" w:rsidRDefault="00BF7CE1" w:rsidP="007E72F0">
    <w:pPr>
      <w:ind w:right="-360"/>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C1" w:rsidRDefault="00C91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C9F"/>
    <w:multiLevelType w:val="multilevel"/>
    <w:tmpl w:val="0409001F"/>
    <w:numStyleLink w:val="Style1"/>
  </w:abstractNum>
  <w:abstractNum w:abstractNumId="1" w15:restartNumberingAfterBreak="0">
    <w:nsid w:val="114415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DBC6CF5"/>
    <w:multiLevelType w:val="multilevel"/>
    <w:tmpl w:val="0409001F"/>
    <w:numStyleLink w:val="111111"/>
  </w:abstractNum>
  <w:abstractNum w:abstractNumId="3" w15:restartNumberingAfterBreak="0">
    <w:nsid w:val="242F60E2"/>
    <w:multiLevelType w:val="multilevel"/>
    <w:tmpl w:val="0409001D"/>
    <w:styleLink w:val="1-1"/>
    <w:lvl w:ilvl="0">
      <w:start w:val="1"/>
      <w:numFmt w:val="none"/>
      <w:lvlText w:val="%1)"/>
      <w:lvlJc w:val="left"/>
      <w:pPr>
        <w:tabs>
          <w:tab w:val="num" w:pos="360"/>
        </w:tabs>
        <w:ind w:left="360" w:hanging="360"/>
      </w:pPr>
      <w:rPr>
        <w:rFonts w:ascii="Times New Roman" w:hAnsi="Times New Roman"/>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9C42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392D5C"/>
    <w:multiLevelType w:val="multilevel"/>
    <w:tmpl w:val="0409001F"/>
    <w:styleLink w:val="111111"/>
    <w:lvl w:ilvl="0">
      <w:start w:val="1"/>
      <w:numFmt w:val="decimal"/>
      <w:lvlText w:val="%1."/>
      <w:lvlJc w:val="left"/>
      <w:pPr>
        <w:tabs>
          <w:tab w:val="num" w:pos="360"/>
        </w:tabs>
        <w:ind w:left="360" w:hanging="360"/>
      </w:pPr>
      <w:rPr>
        <w:rFonts w:ascii="Times New Roman" w:hAnsi="Times New Roman"/>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82F151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42A3326F"/>
    <w:multiLevelType w:val="singleLevel"/>
    <w:tmpl w:val="E7704C46"/>
    <w:lvl w:ilvl="0">
      <w:start w:val="1"/>
      <w:numFmt w:val="bullet"/>
      <w:lvlText w:val="■"/>
      <w:lvlJc w:val="left"/>
      <w:pPr>
        <w:tabs>
          <w:tab w:val="num" w:pos="960"/>
        </w:tabs>
        <w:ind w:left="960" w:hanging="360"/>
      </w:pPr>
      <w:rPr>
        <w:rFonts w:ascii="Courier New" w:hAnsi="Courier New" w:hint="default"/>
        <w:b w:val="0"/>
        <w:i w:val="0"/>
        <w:sz w:val="22"/>
      </w:rPr>
    </w:lvl>
  </w:abstractNum>
  <w:abstractNum w:abstractNumId="8" w15:restartNumberingAfterBreak="0">
    <w:nsid w:val="44C871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3983B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5D177D"/>
    <w:multiLevelType w:val="multilevel"/>
    <w:tmpl w:val="0409001F"/>
    <w:lvl w:ilvl="0">
      <w:start w:val="1"/>
      <w:numFmt w:val="decimal"/>
      <w:lvlText w:val="%1."/>
      <w:lvlJc w:val="left"/>
      <w:pPr>
        <w:tabs>
          <w:tab w:val="num" w:pos="360"/>
        </w:tabs>
        <w:ind w:left="360" w:hanging="360"/>
      </w:pPr>
      <w:rPr>
        <w:rFonts w:ascii="Times New Roman" w:hAnsi="Times New Roman"/>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39D3B7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732D5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C41270F"/>
    <w:multiLevelType w:val="multilevel"/>
    <w:tmpl w:val="0409001F"/>
    <w:styleLink w:val="Style1"/>
    <w:lvl w:ilvl="0">
      <w:start w:val="1"/>
      <w:numFmt w:val="decimal"/>
      <w:lvlText w:val="%1."/>
      <w:lvlJc w:val="left"/>
      <w:pPr>
        <w:tabs>
          <w:tab w:val="num" w:pos="360"/>
        </w:tabs>
        <w:ind w:left="360" w:hanging="360"/>
      </w:pPr>
      <w:rPr>
        <w:rFonts w:ascii="Times New Roman" w:hAnsi="Times New Roman"/>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7DAF66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4"/>
  </w:num>
  <w:num w:numId="3">
    <w:abstractNumId w:val="12"/>
  </w:num>
  <w:num w:numId="4">
    <w:abstractNumId w:val="9"/>
  </w:num>
  <w:num w:numId="5">
    <w:abstractNumId w:val="8"/>
  </w:num>
  <w:num w:numId="6">
    <w:abstractNumId w:val="6"/>
  </w:num>
  <w:num w:numId="7">
    <w:abstractNumId w:val="14"/>
  </w:num>
  <w:num w:numId="8">
    <w:abstractNumId w:val="11"/>
  </w:num>
  <w:num w:numId="9">
    <w:abstractNumId w:val="1"/>
  </w:num>
  <w:num w:numId="10">
    <w:abstractNumId w:val="5"/>
  </w:num>
  <w:num w:numId="11">
    <w:abstractNumId w:val="13"/>
  </w:num>
  <w:num w:numId="12">
    <w:abstractNumId w:val="0"/>
  </w:num>
  <w:num w:numId="13">
    <w:abstractNumId w:val="1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04"/>
    <w:rsid w:val="00030AA4"/>
    <w:rsid w:val="0003634D"/>
    <w:rsid w:val="00042EBB"/>
    <w:rsid w:val="00050A04"/>
    <w:rsid w:val="00070973"/>
    <w:rsid w:val="00073313"/>
    <w:rsid w:val="00075B3A"/>
    <w:rsid w:val="00091002"/>
    <w:rsid w:val="000A10E9"/>
    <w:rsid w:val="000D54E5"/>
    <w:rsid w:val="000D78E0"/>
    <w:rsid w:val="000E2EA3"/>
    <w:rsid w:val="00114880"/>
    <w:rsid w:val="00121066"/>
    <w:rsid w:val="00192260"/>
    <w:rsid w:val="00196581"/>
    <w:rsid w:val="001A5830"/>
    <w:rsid w:val="001B63F2"/>
    <w:rsid w:val="001C3EB5"/>
    <w:rsid w:val="001C6B2F"/>
    <w:rsid w:val="001E1D3D"/>
    <w:rsid w:val="002209A8"/>
    <w:rsid w:val="00244072"/>
    <w:rsid w:val="00256E05"/>
    <w:rsid w:val="002B6172"/>
    <w:rsid w:val="002E2D46"/>
    <w:rsid w:val="00314F1C"/>
    <w:rsid w:val="00317F9E"/>
    <w:rsid w:val="003637CB"/>
    <w:rsid w:val="0038078B"/>
    <w:rsid w:val="00386EEB"/>
    <w:rsid w:val="003A27FE"/>
    <w:rsid w:val="003C098C"/>
    <w:rsid w:val="003F7381"/>
    <w:rsid w:val="00413610"/>
    <w:rsid w:val="00415A7B"/>
    <w:rsid w:val="004510BE"/>
    <w:rsid w:val="00451F58"/>
    <w:rsid w:val="00466F48"/>
    <w:rsid w:val="004A3025"/>
    <w:rsid w:val="004B0BE5"/>
    <w:rsid w:val="004B218D"/>
    <w:rsid w:val="004B2907"/>
    <w:rsid w:val="004C0A6C"/>
    <w:rsid w:val="004F2BB8"/>
    <w:rsid w:val="00524DEC"/>
    <w:rsid w:val="00530B06"/>
    <w:rsid w:val="005408CC"/>
    <w:rsid w:val="005624A8"/>
    <w:rsid w:val="0056488A"/>
    <w:rsid w:val="0057471B"/>
    <w:rsid w:val="005833CB"/>
    <w:rsid w:val="00595B78"/>
    <w:rsid w:val="005A6E5A"/>
    <w:rsid w:val="005C2B6E"/>
    <w:rsid w:val="005D14C8"/>
    <w:rsid w:val="005F22F5"/>
    <w:rsid w:val="0061339F"/>
    <w:rsid w:val="00622361"/>
    <w:rsid w:val="00625511"/>
    <w:rsid w:val="006354CF"/>
    <w:rsid w:val="00636C23"/>
    <w:rsid w:val="006446D2"/>
    <w:rsid w:val="0066509A"/>
    <w:rsid w:val="00682379"/>
    <w:rsid w:val="0068241E"/>
    <w:rsid w:val="00693877"/>
    <w:rsid w:val="006A44A0"/>
    <w:rsid w:val="006A4D18"/>
    <w:rsid w:val="006B5C5A"/>
    <w:rsid w:val="006D4B16"/>
    <w:rsid w:val="006F0554"/>
    <w:rsid w:val="00712918"/>
    <w:rsid w:val="0076102F"/>
    <w:rsid w:val="00776443"/>
    <w:rsid w:val="007766C8"/>
    <w:rsid w:val="00783C2F"/>
    <w:rsid w:val="00787FD2"/>
    <w:rsid w:val="007B2444"/>
    <w:rsid w:val="007C285B"/>
    <w:rsid w:val="007C31E3"/>
    <w:rsid w:val="007E6EE6"/>
    <w:rsid w:val="007E72F0"/>
    <w:rsid w:val="007F3153"/>
    <w:rsid w:val="00811ACA"/>
    <w:rsid w:val="008270B9"/>
    <w:rsid w:val="00862A52"/>
    <w:rsid w:val="0086311E"/>
    <w:rsid w:val="008668CF"/>
    <w:rsid w:val="008D6367"/>
    <w:rsid w:val="008F4F81"/>
    <w:rsid w:val="008F6FEA"/>
    <w:rsid w:val="00916A34"/>
    <w:rsid w:val="00933196"/>
    <w:rsid w:val="00937DCF"/>
    <w:rsid w:val="00947461"/>
    <w:rsid w:val="00951404"/>
    <w:rsid w:val="00996ACD"/>
    <w:rsid w:val="009E3C61"/>
    <w:rsid w:val="009E53FF"/>
    <w:rsid w:val="00A126DE"/>
    <w:rsid w:val="00A131FC"/>
    <w:rsid w:val="00A26CB1"/>
    <w:rsid w:val="00A309E7"/>
    <w:rsid w:val="00A400CD"/>
    <w:rsid w:val="00A57F46"/>
    <w:rsid w:val="00A755B9"/>
    <w:rsid w:val="00AD5D0C"/>
    <w:rsid w:val="00AD64F8"/>
    <w:rsid w:val="00AD76A2"/>
    <w:rsid w:val="00B45A05"/>
    <w:rsid w:val="00B45CD5"/>
    <w:rsid w:val="00B510C4"/>
    <w:rsid w:val="00B71DFD"/>
    <w:rsid w:val="00B74D80"/>
    <w:rsid w:val="00B836FA"/>
    <w:rsid w:val="00BB0AB3"/>
    <w:rsid w:val="00BC44CB"/>
    <w:rsid w:val="00BE1BAB"/>
    <w:rsid w:val="00BF7CE1"/>
    <w:rsid w:val="00C4066C"/>
    <w:rsid w:val="00C44F4F"/>
    <w:rsid w:val="00C80161"/>
    <w:rsid w:val="00C91BC1"/>
    <w:rsid w:val="00CA6C91"/>
    <w:rsid w:val="00CC542B"/>
    <w:rsid w:val="00D0500E"/>
    <w:rsid w:val="00D0640E"/>
    <w:rsid w:val="00D21D59"/>
    <w:rsid w:val="00D30CC0"/>
    <w:rsid w:val="00D437B2"/>
    <w:rsid w:val="00D933B8"/>
    <w:rsid w:val="00DD1DDD"/>
    <w:rsid w:val="00E018CA"/>
    <w:rsid w:val="00E37269"/>
    <w:rsid w:val="00E451E5"/>
    <w:rsid w:val="00E963E8"/>
    <w:rsid w:val="00EB0E33"/>
    <w:rsid w:val="00EB4A1B"/>
    <w:rsid w:val="00EB5C2F"/>
    <w:rsid w:val="00EB72F7"/>
    <w:rsid w:val="00EB7CD8"/>
    <w:rsid w:val="00EF026E"/>
    <w:rsid w:val="00F33D17"/>
    <w:rsid w:val="00FD4352"/>
    <w:rsid w:val="00FE44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34B9A6-2FFE-4BE4-8FBC-C58B1C84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customStyle="1" w:styleId="FH">
    <w:name w:val="FH"/>
    <w:basedOn w:val="Normal"/>
    <w:pPr>
      <w:tabs>
        <w:tab w:val="left" w:pos="600"/>
      </w:tabs>
      <w:ind w:left="600" w:hanging="600"/>
    </w:pPr>
    <w:rPr>
      <w:rFonts w:ascii="Courier New" w:hAnsi="Courier New"/>
    </w:rPr>
  </w:style>
  <w:style w:type="paragraph" w:customStyle="1" w:styleId="Boxes">
    <w:name w:val="Boxes"/>
    <w:basedOn w:val="Normal"/>
    <w:pPr>
      <w:tabs>
        <w:tab w:val="left" w:pos="888"/>
      </w:tabs>
      <w:ind w:left="888" w:hanging="300"/>
    </w:pPr>
    <w:rPr>
      <w:rFonts w:ascii="Courier New" w:hAnsi="Courier New"/>
    </w:rPr>
  </w:style>
  <w:style w:type="paragraph" w:styleId="Footer">
    <w:name w:val="footer"/>
    <w:basedOn w:val="Normal"/>
    <w:pPr>
      <w:tabs>
        <w:tab w:val="center" w:pos="4320"/>
        <w:tab w:val="right" w:pos="8640"/>
      </w:tabs>
    </w:pPr>
  </w:style>
  <w:style w:type="character" w:styleId="PageNumber">
    <w:name w:val="page number"/>
    <w:basedOn w:val="DefaultParagraphFont"/>
    <w:rsid w:val="007E72F0"/>
  </w:style>
  <w:style w:type="numbering" w:styleId="111111">
    <w:name w:val="Outline List 2"/>
    <w:basedOn w:val="NoList"/>
    <w:rsid w:val="007E72F0"/>
    <w:pPr>
      <w:numPr>
        <w:numId w:val="10"/>
      </w:numPr>
    </w:pPr>
  </w:style>
  <w:style w:type="numbering" w:customStyle="1" w:styleId="Style1">
    <w:name w:val="Style1"/>
    <w:basedOn w:val="NoList"/>
    <w:rsid w:val="007E72F0"/>
    <w:pPr>
      <w:numPr>
        <w:numId w:val="11"/>
      </w:numPr>
    </w:pPr>
  </w:style>
  <w:style w:type="numbering" w:customStyle="1" w:styleId="1-1">
    <w:name w:val="1-1"/>
    <w:rsid w:val="00937DCF"/>
    <w:pPr>
      <w:numPr>
        <w:numId w:val="15"/>
      </w:numPr>
    </w:pPr>
  </w:style>
  <w:style w:type="paragraph" w:styleId="BalloonText">
    <w:name w:val="Balloon Text"/>
    <w:basedOn w:val="Normal"/>
    <w:link w:val="BalloonTextChar"/>
    <w:rsid w:val="00B45CD5"/>
    <w:rPr>
      <w:rFonts w:ascii="Tahoma" w:hAnsi="Tahoma" w:cs="Tahoma"/>
      <w:sz w:val="16"/>
      <w:szCs w:val="16"/>
    </w:rPr>
  </w:style>
  <w:style w:type="character" w:customStyle="1" w:styleId="BalloonTextChar">
    <w:name w:val="Balloon Text Char"/>
    <w:link w:val="BalloonText"/>
    <w:rsid w:val="00B45CD5"/>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CHAPTER 1</vt:lpstr>
    </vt:vector>
  </TitlesOfParts>
  <Company>Jay Tee Graphics Ltd.</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Sharon</dc:creator>
  <cp:keywords/>
  <cp:lastModifiedBy>Joan Kitunen</cp:lastModifiedBy>
  <cp:revision>6</cp:revision>
  <cp:lastPrinted>2010-03-29T16:17:00Z</cp:lastPrinted>
  <dcterms:created xsi:type="dcterms:W3CDTF">2020-05-22T20:09:00Z</dcterms:created>
  <dcterms:modified xsi:type="dcterms:W3CDTF">2020-05-29T20:15:00Z</dcterms:modified>
</cp:coreProperties>
</file>