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573CC" w14:textId="77777777" w:rsidR="003D111D" w:rsidRDefault="003D111D" w:rsidP="007D59AC">
      <w:pPr>
        <w:autoSpaceDE w:val="0"/>
        <w:autoSpaceDN w:val="0"/>
        <w:adjustRightInd w:val="0"/>
        <w:spacing w:after="0" w:line="240" w:lineRule="auto"/>
        <w:jc w:val="center"/>
        <w:rPr>
          <w:rFonts w:ascii="Times New Roman" w:hAnsi="Times New Roman"/>
          <w:b/>
          <w:bCs/>
          <w:sz w:val="52"/>
          <w:szCs w:val="52"/>
        </w:rPr>
      </w:pPr>
      <w:r>
        <w:rPr>
          <w:rFonts w:ascii="Times New Roman" w:hAnsi="Times New Roman"/>
          <w:b/>
          <w:bCs/>
          <w:sz w:val="52"/>
          <w:szCs w:val="52"/>
        </w:rPr>
        <w:t xml:space="preserve">Mini </w:t>
      </w:r>
      <w:r w:rsidRPr="00A64C8C">
        <w:rPr>
          <w:rFonts w:ascii="Times New Roman" w:hAnsi="Times New Roman"/>
          <w:b/>
          <w:bCs/>
          <w:sz w:val="52"/>
          <w:szCs w:val="52"/>
        </w:rPr>
        <w:t>Case Solutions</w:t>
      </w:r>
      <w:r>
        <w:rPr>
          <w:rFonts w:ascii="Times New Roman" w:hAnsi="Times New Roman"/>
          <w:b/>
          <w:bCs/>
          <w:sz w:val="52"/>
          <w:szCs w:val="52"/>
        </w:rPr>
        <w:t xml:space="preserve"> </w:t>
      </w:r>
    </w:p>
    <w:p w14:paraId="4BC83A84" w14:textId="77777777" w:rsidR="003D111D" w:rsidRPr="00A64C8C" w:rsidRDefault="003D111D" w:rsidP="007D59AC">
      <w:pPr>
        <w:autoSpaceDE w:val="0"/>
        <w:autoSpaceDN w:val="0"/>
        <w:adjustRightInd w:val="0"/>
        <w:spacing w:after="0" w:line="240" w:lineRule="auto"/>
        <w:jc w:val="center"/>
        <w:rPr>
          <w:rFonts w:ascii="Times New Roman" w:hAnsi="Times New Roman"/>
          <w:b/>
          <w:bCs/>
          <w:sz w:val="52"/>
          <w:szCs w:val="52"/>
        </w:rPr>
      </w:pPr>
    </w:p>
    <w:p w14:paraId="5B79B8E3" w14:textId="77777777" w:rsidR="003D111D" w:rsidRPr="00F8148A" w:rsidRDefault="003D111D" w:rsidP="00F8148A">
      <w:pPr>
        <w:pBdr>
          <w:bottom w:val="single" w:sz="18" w:space="1" w:color="000000"/>
        </w:pBdr>
        <w:autoSpaceDE w:val="0"/>
        <w:autoSpaceDN w:val="0"/>
        <w:adjustRightInd w:val="0"/>
        <w:spacing w:after="0" w:line="240" w:lineRule="auto"/>
        <w:rPr>
          <w:rFonts w:ascii="Times New Roman" w:hAnsi="Times New Roman"/>
          <w:b/>
          <w:bCs/>
          <w:iCs/>
          <w:sz w:val="16"/>
          <w:szCs w:val="16"/>
        </w:rPr>
      </w:pPr>
    </w:p>
    <w:p w14:paraId="67B6BB9F" w14:textId="77777777" w:rsidR="003D111D" w:rsidRPr="00F8148A" w:rsidRDefault="003D111D" w:rsidP="00F8148A">
      <w:pPr>
        <w:autoSpaceDE w:val="0"/>
        <w:autoSpaceDN w:val="0"/>
        <w:adjustRightInd w:val="0"/>
        <w:spacing w:after="0" w:line="240" w:lineRule="auto"/>
        <w:rPr>
          <w:rFonts w:ascii="Times New Roman" w:hAnsi="Times New Roman"/>
          <w:b/>
          <w:bCs/>
          <w:iCs/>
          <w:sz w:val="16"/>
          <w:szCs w:val="16"/>
        </w:rPr>
      </w:pPr>
    </w:p>
    <w:p w14:paraId="6848B6D3" w14:textId="77777777" w:rsidR="003D111D" w:rsidRPr="00A64C8C" w:rsidRDefault="003D111D" w:rsidP="007D59AC">
      <w:pPr>
        <w:autoSpaceDE w:val="0"/>
        <w:autoSpaceDN w:val="0"/>
        <w:adjustRightInd w:val="0"/>
        <w:spacing w:after="0" w:line="240" w:lineRule="auto"/>
        <w:rPr>
          <w:rFonts w:ascii="Times New Roman" w:hAnsi="Times New Roman"/>
          <w:b/>
          <w:bCs/>
          <w:i/>
          <w:iCs/>
          <w:sz w:val="48"/>
          <w:szCs w:val="48"/>
        </w:rPr>
      </w:pPr>
      <w:r w:rsidRPr="00A64C8C">
        <w:rPr>
          <w:rFonts w:ascii="Times New Roman" w:hAnsi="Times New Roman"/>
          <w:b/>
          <w:bCs/>
          <w:i/>
          <w:iCs/>
          <w:sz w:val="48"/>
          <w:szCs w:val="48"/>
        </w:rPr>
        <w:t>CHAPTER 2</w:t>
      </w:r>
    </w:p>
    <w:p w14:paraId="489AA45A" w14:textId="77777777" w:rsidR="003D111D" w:rsidRPr="00A64C8C" w:rsidRDefault="003D111D" w:rsidP="007D59AC">
      <w:pPr>
        <w:autoSpaceDE w:val="0"/>
        <w:autoSpaceDN w:val="0"/>
        <w:adjustRightInd w:val="0"/>
        <w:spacing w:after="0" w:line="240" w:lineRule="auto"/>
        <w:rPr>
          <w:rFonts w:ascii="Times New Roman" w:hAnsi="Times New Roman"/>
          <w:b/>
          <w:bCs/>
          <w:sz w:val="48"/>
          <w:szCs w:val="48"/>
        </w:rPr>
      </w:pPr>
      <w:r w:rsidRPr="00A64C8C">
        <w:rPr>
          <w:rFonts w:ascii="Times New Roman" w:hAnsi="Times New Roman"/>
          <w:b/>
          <w:bCs/>
          <w:sz w:val="48"/>
          <w:szCs w:val="48"/>
        </w:rPr>
        <w:t>CASH FLOWS AND FINANCIAL</w:t>
      </w:r>
    </w:p>
    <w:p w14:paraId="6F9FF984" w14:textId="77777777" w:rsidR="003D111D" w:rsidRPr="00A64C8C" w:rsidRDefault="003D111D" w:rsidP="007D59AC">
      <w:pPr>
        <w:autoSpaceDE w:val="0"/>
        <w:autoSpaceDN w:val="0"/>
        <w:adjustRightInd w:val="0"/>
        <w:spacing w:after="0" w:line="240" w:lineRule="auto"/>
        <w:rPr>
          <w:rFonts w:ascii="Times New Roman" w:hAnsi="Times New Roman"/>
          <w:b/>
          <w:bCs/>
          <w:sz w:val="48"/>
          <w:szCs w:val="48"/>
        </w:rPr>
      </w:pPr>
      <w:r w:rsidRPr="00A64C8C">
        <w:rPr>
          <w:rFonts w:ascii="Times New Roman" w:hAnsi="Times New Roman"/>
          <w:b/>
          <w:bCs/>
          <w:sz w:val="48"/>
          <w:szCs w:val="48"/>
        </w:rPr>
        <w:t xml:space="preserve">STATEMENTS AT </w:t>
      </w:r>
      <w:r>
        <w:rPr>
          <w:rFonts w:ascii="Times New Roman" w:hAnsi="Times New Roman"/>
          <w:b/>
          <w:bCs/>
          <w:sz w:val="48"/>
          <w:szCs w:val="48"/>
        </w:rPr>
        <w:t>NEPEAN</w:t>
      </w:r>
      <w:r w:rsidRPr="00A64C8C">
        <w:rPr>
          <w:rFonts w:ascii="Times New Roman" w:hAnsi="Times New Roman"/>
          <w:b/>
          <w:bCs/>
          <w:sz w:val="48"/>
          <w:szCs w:val="48"/>
        </w:rPr>
        <w:t xml:space="preserve"> BOARDS</w:t>
      </w:r>
    </w:p>
    <w:p w14:paraId="67344193" w14:textId="77777777" w:rsidR="003D111D" w:rsidRPr="00A64C8C" w:rsidRDefault="003D111D" w:rsidP="007D59AC">
      <w:pPr>
        <w:autoSpaceDE w:val="0"/>
        <w:autoSpaceDN w:val="0"/>
        <w:adjustRightInd w:val="0"/>
        <w:spacing w:after="0" w:line="240" w:lineRule="auto"/>
        <w:rPr>
          <w:rFonts w:ascii="Times New Roman" w:hAnsi="Times New Roman"/>
        </w:rPr>
      </w:pPr>
    </w:p>
    <w:p w14:paraId="5AC491B9" w14:textId="77777777" w:rsidR="003D111D" w:rsidRPr="00A64C8C" w:rsidRDefault="003D111D" w:rsidP="007D59AC">
      <w:pPr>
        <w:autoSpaceDE w:val="0"/>
        <w:autoSpaceDN w:val="0"/>
        <w:adjustRightInd w:val="0"/>
        <w:spacing w:after="0" w:line="240" w:lineRule="auto"/>
        <w:rPr>
          <w:rFonts w:ascii="Times New Roman" w:hAnsi="Times New Roman"/>
        </w:rPr>
      </w:pPr>
      <w:r w:rsidRPr="00A64C8C">
        <w:rPr>
          <w:rFonts w:ascii="Times New Roman" w:hAnsi="Times New Roman"/>
        </w:rPr>
        <w:t>Below are the financial statements that you are asked to prepare.</w:t>
      </w:r>
    </w:p>
    <w:p w14:paraId="42174092" w14:textId="77777777" w:rsidR="003D111D" w:rsidRPr="00A64C8C" w:rsidRDefault="003D111D" w:rsidP="007D59AC">
      <w:pPr>
        <w:autoSpaceDE w:val="0"/>
        <w:autoSpaceDN w:val="0"/>
        <w:adjustRightInd w:val="0"/>
        <w:spacing w:after="0" w:line="240" w:lineRule="auto"/>
        <w:rPr>
          <w:rFonts w:ascii="Times New Roman" w:hAnsi="Times New Roman"/>
        </w:rPr>
      </w:pPr>
    </w:p>
    <w:p w14:paraId="1114FD21" w14:textId="77777777" w:rsidR="003D111D" w:rsidRPr="00A64C8C" w:rsidRDefault="003D111D" w:rsidP="00844E88">
      <w:pPr>
        <w:pStyle w:val="ListParagraph"/>
        <w:numPr>
          <w:ilvl w:val="0"/>
          <w:numId w:val="1"/>
        </w:numPr>
        <w:autoSpaceDE w:val="0"/>
        <w:autoSpaceDN w:val="0"/>
        <w:adjustRightInd w:val="0"/>
        <w:spacing w:after="0" w:line="240" w:lineRule="auto"/>
        <w:rPr>
          <w:rFonts w:ascii="Times New Roman" w:hAnsi="Times New Roman"/>
        </w:rPr>
      </w:pPr>
      <w:r w:rsidRPr="00A64C8C">
        <w:rPr>
          <w:rFonts w:ascii="Times New Roman" w:hAnsi="Times New Roman"/>
        </w:rPr>
        <w:t>The income statement for each year will look like this:</w:t>
      </w:r>
    </w:p>
    <w:p w14:paraId="79D05CE4" w14:textId="77777777" w:rsidR="003D111D" w:rsidRDefault="003D111D" w:rsidP="007D59AC">
      <w:pPr>
        <w:autoSpaceDE w:val="0"/>
        <w:autoSpaceDN w:val="0"/>
        <w:adjustRightInd w:val="0"/>
        <w:spacing w:after="0" w:line="240" w:lineRule="auto"/>
        <w:rPr>
          <w:rFonts w:ascii="Times New Roman" w:hAnsi="Times New Roman"/>
          <w:b/>
          <w:bCs/>
        </w:rPr>
      </w:pPr>
    </w:p>
    <w:p w14:paraId="056B613E" w14:textId="44CB33AF" w:rsidR="008C4F6A" w:rsidRPr="00417662" w:rsidRDefault="008C4F6A" w:rsidP="007D59AC">
      <w:pPr>
        <w:autoSpaceDE w:val="0"/>
        <w:autoSpaceDN w:val="0"/>
        <w:adjustRightInd w:val="0"/>
        <w:spacing w:after="0" w:line="240" w:lineRule="auto"/>
        <w:rPr>
          <w:rFonts w:ascii="Times New Roman" w:hAnsi="Times New Roman"/>
          <w:bCs/>
          <w:i/>
        </w:rPr>
      </w:pPr>
      <w:r w:rsidRPr="008C4F6A">
        <w:rPr>
          <w:rFonts w:ascii="Times New Roman" w:hAnsi="Times New Roman"/>
          <w:bCs/>
          <w:i/>
        </w:rPr>
        <w:t>Statement of Comprehensive Income</w:t>
      </w:r>
    </w:p>
    <w:p w14:paraId="7A00A29D" w14:textId="77777777" w:rsidR="008C4F6A" w:rsidRDefault="008C4F6A" w:rsidP="007D59AC">
      <w:pPr>
        <w:autoSpaceDE w:val="0"/>
        <w:autoSpaceDN w:val="0"/>
        <w:adjustRightInd w:val="0"/>
        <w:spacing w:after="0" w:line="240" w:lineRule="auto"/>
        <w:rPr>
          <w:rFonts w:ascii="Times New Roman" w:hAnsi="Times New Roman"/>
          <w:b/>
          <w:bCs/>
        </w:rPr>
      </w:pPr>
    </w:p>
    <w:tbl>
      <w:tblPr>
        <w:tblW w:w="3900" w:type="dxa"/>
        <w:tblInd w:w="93" w:type="dxa"/>
        <w:tblLook w:val="04A0" w:firstRow="1" w:lastRow="0" w:firstColumn="1" w:lastColumn="0" w:noHBand="0" w:noVBand="1"/>
      </w:tblPr>
      <w:tblGrid>
        <w:gridCol w:w="1362"/>
        <w:gridCol w:w="1269"/>
        <w:gridCol w:w="1269"/>
      </w:tblGrid>
      <w:tr w:rsidR="008C4F6A" w:rsidRPr="008C4F6A" w14:paraId="0DE306B0" w14:textId="77777777" w:rsidTr="008C4F6A">
        <w:trPr>
          <w:trHeight w:val="480"/>
        </w:trPr>
        <w:tc>
          <w:tcPr>
            <w:tcW w:w="1300" w:type="dxa"/>
            <w:tcBorders>
              <w:top w:val="single" w:sz="8" w:space="0" w:color="auto"/>
              <w:left w:val="nil"/>
              <w:bottom w:val="nil"/>
              <w:right w:val="nil"/>
            </w:tcBorders>
            <w:shd w:val="clear" w:color="auto" w:fill="auto"/>
            <w:vAlign w:val="center"/>
            <w:hideMark/>
          </w:tcPr>
          <w:p w14:paraId="37257A50"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 </w:t>
            </w:r>
          </w:p>
        </w:tc>
        <w:tc>
          <w:tcPr>
            <w:tcW w:w="1300" w:type="dxa"/>
            <w:tcBorders>
              <w:top w:val="single" w:sz="8" w:space="0" w:color="auto"/>
              <w:left w:val="nil"/>
              <w:bottom w:val="nil"/>
              <w:right w:val="nil"/>
            </w:tcBorders>
            <w:shd w:val="clear" w:color="auto" w:fill="auto"/>
            <w:vAlign w:val="center"/>
            <w:hideMark/>
          </w:tcPr>
          <w:p w14:paraId="33D22D66" w14:textId="5DAAA066" w:rsidR="008C4F6A" w:rsidRPr="008C4F6A" w:rsidRDefault="008C4F6A" w:rsidP="008C4F6A">
            <w:pPr>
              <w:spacing w:after="0" w:line="240" w:lineRule="auto"/>
              <w:jc w:val="right"/>
              <w:rPr>
                <w:rFonts w:ascii="Times New Roman" w:eastAsia="Times New Roman" w:hAnsi="Times New Roman"/>
                <w:i/>
                <w:iCs/>
                <w:color w:val="000000"/>
                <w:lang w:val="en-CA"/>
              </w:rPr>
            </w:pPr>
            <w:r w:rsidRPr="008C4F6A">
              <w:rPr>
                <w:rFonts w:ascii="Times New Roman" w:eastAsia="Times New Roman" w:hAnsi="Times New Roman"/>
                <w:i/>
                <w:iCs/>
                <w:color w:val="000000"/>
                <w:lang w:val="en-CA"/>
              </w:rPr>
              <w:t>201</w:t>
            </w:r>
            <w:r w:rsidR="00CF0789">
              <w:rPr>
                <w:rFonts w:ascii="Times New Roman" w:eastAsia="Times New Roman" w:hAnsi="Times New Roman"/>
                <w:i/>
                <w:iCs/>
                <w:color w:val="000000"/>
                <w:lang w:val="en-CA"/>
              </w:rPr>
              <w:t>7</w:t>
            </w:r>
          </w:p>
        </w:tc>
        <w:tc>
          <w:tcPr>
            <w:tcW w:w="1300" w:type="dxa"/>
            <w:tcBorders>
              <w:top w:val="single" w:sz="8" w:space="0" w:color="auto"/>
              <w:left w:val="nil"/>
              <w:bottom w:val="nil"/>
              <w:right w:val="nil"/>
            </w:tcBorders>
            <w:shd w:val="clear" w:color="auto" w:fill="auto"/>
            <w:vAlign w:val="center"/>
            <w:hideMark/>
          </w:tcPr>
          <w:p w14:paraId="21246FD5" w14:textId="04E718BB" w:rsidR="008C4F6A" w:rsidRPr="008C4F6A" w:rsidRDefault="008C4F6A" w:rsidP="008C4F6A">
            <w:pPr>
              <w:spacing w:after="0" w:line="240" w:lineRule="auto"/>
              <w:jc w:val="right"/>
              <w:rPr>
                <w:rFonts w:ascii="Times New Roman" w:eastAsia="Times New Roman" w:hAnsi="Times New Roman"/>
                <w:i/>
                <w:iCs/>
                <w:color w:val="000000"/>
                <w:lang w:val="en-CA"/>
              </w:rPr>
            </w:pPr>
            <w:r w:rsidRPr="008C4F6A">
              <w:rPr>
                <w:rFonts w:ascii="Times New Roman" w:eastAsia="Times New Roman" w:hAnsi="Times New Roman"/>
                <w:i/>
                <w:iCs/>
                <w:color w:val="000000"/>
                <w:lang w:val="en-CA"/>
              </w:rPr>
              <w:t>201</w:t>
            </w:r>
            <w:r w:rsidR="00CF0789">
              <w:rPr>
                <w:rFonts w:ascii="Times New Roman" w:eastAsia="Times New Roman" w:hAnsi="Times New Roman"/>
                <w:i/>
                <w:iCs/>
                <w:color w:val="000000"/>
                <w:lang w:val="en-CA"/>
              </w:rPr>
              <w:t>8</w:t>
            </w:r>
          </w:p>
        </w:tc>
      </w:tr>
      <w:tr w:rsidR="008C4F6A" w:rsidRPr="008C4F6A" w14:paraId="2974C013" w14:textId="77777777" w:rsidTr="008C4F6A">
        <w:trPr>
          <w:trHeight w:val="500"/>
        </w:trPr>
        <w:tc>
          <w:tcPr>
            <w:tcW w:w="1300" w:type="dxa"/>
            <w:tcBorders>
              <w:top w:val="nil"/>
              <w:left w:val="nil"/>
              <w:bottom w:val="nil"/>
              <w:right w:val="nil"/>
            </w:tcBorders>
            <w:shd w:val="clear" w:color="auto" w:fill="auto"/>
            <w:vAlign w:val="center"/>
            <w:hideMark/>
          </w:tcPr>
          <w:p w14:paraId="59844C47"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Sales</w:t>
            </w:r>
          </w:p>
        </w:tc>
        <w:tc>
          <w:tcPr>
            <w:tcW w:w="1300" w:type="dxa"/>
            <w:tcBorders>
              <w:top w:val="nil"/>
              <w:left w:val="nil"/>
              <w:bottom w:val="nil"/>
              <w:right w:val="nil"/>
            </w:tcBorders>
            <w:shd w:val="clear" w:color="auto" w:fill="auto"/>
            <w:vAlign w:val="center"/>
            <w:hideMark/>
          </w:tcPr>
          <w:p w14:paraId="436F1E6D" w14:textId="77777777" w:rsidR="008C4F6A" w:rsidRPr="008C4F6A" w:rsidRDefault="008C4F6A" w:rsidP="008C4F6A">
            <w:pPr>
              <w:spacing w:after="0" w:line="240" w:lineRule="auto"/>
              <w:jc w:val="right"/>
              <w:rPr>
                <w:rFonts w:ascii="Times New Roman" w:eastAsia="Times New Roman" w:hAnsi="Times New Roman"/>
                <w:lang w:val="en-CA"/>
              </w:rPr>
            </w:pPr>
            <w:r w:rsidRPr="008C4F6A">
              <w:rPr>
                <w:rFonts w:ascii="Times New Roman" w:eastAsia="Times New Roman" w:hAnsi="Times New Roman"/>
                <w:lang w:val="en-CA"/>
              </w:rPr>
              <w:t>321,437.00</w:t>
            </w:r>
          </w:p>
        </w:tc>
        <w:tc>
          <w:tcPr>
            <w:tcW w:w="1300" w:type="dxa"/>
            <w:tcBorders>
              <w:top w:val="nil"/>
              <w:left w:val="nil"/>
              <w:bottom w:val="nil"/>
              <w:right w:val="nil"/>
            </w:tcBorders>
            <w:shd w:val="clear" w:color="auto" w:fill="auto"/>
            <w:vAlign w:val="center"/>
            <w:hideMark/>
          </w:tcPr>
          <w:p w14:paraId="18EF2540" w14:textId="77777777" w:rsidR="008C4F6A" w:rsidRPr="008C4F6A" w:rsidRDefault="008C4F6A" w:rsidP="008C4F6A">
            <w:pPr>
              <w:spacing w:after="0" w:line="240" w:lineRule="auto"/>
              <w:jc w:val="right"/>
              <w:rPr>
                <w:rFonts w:ascii="Times New Roman" w:eastAsia="Times New Roman" w:hAnsi="Times New Roman"/>
                <w:lang w:val="en-CA"/>
              </w:rPr>
            </w:pPr>
            <w:r w:rsidRPr="008C4F6A">
              <w:rPr>
                <w:rFonts w:ascii="Times New Roman" w:eastAsia="Times New Roman" w:hAnsi="Times New Roman"/>
                <w:lang w:val="en-CA"/>
              </w:rPr>
              <w:t>391,810.00</w:t>
            </w:r>
          </w:p>
        </w:tc>
      </w:tr>
      <w:tr w:rsidR="008C4F6A" w:rsidRPr="008C4F6A" w14:paraId="34DD12D3" w14:textId="77777777" w:rsidTr="008C4F6A">
        <w:trPr>
          <w:trHeight w:val="500"/>
        </w:trPr>
        <w:tc>
          <w:tcPr>
            <w:tcW w:w="1300" w:type="dxa"/>
            <w:tcBorders>
              <w:top w:val="nil"/>
              <w:left w:val="nil"/>
              <w:bottom w:val="nil"/>
              <w:right w:val="nil"/>
            </w:tcBorders>
            <w:shd w:val="clear" w:color="auto" w:fill="auto"/>
            <w:vAlign w:val="center"/>
            <w:hideMark/>
          </w:tcPr>
          <w:p w14:paraId="7EF958BD"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Cost of goods sold</w:t>
            </w:r>
          </w:p>
        </w:tc>
        <w:tc>
          <w:tcPr>
            <w:tcW w:w="1300" w:type="dxa"/>
            <w:tcBorders>
              <w:top w:val="nil"/>
              <w:left w:val="nil"/>
              <w:bottom w:val="nil"/>
              <w:right w:val="nil"/>
            </w:tcBorders>
            <w:shd w:val="clear" w:color="auto" w:fill="auto"/>
            <w:vAlign w:val="center"/>
            <w:hideMark/>
          </w:tcPr>
          <w:p w14:paraId="3ECE4192" w14:textId="77777777" w:rsidR="008C4F6A" w:rsidRPr="008C4F6A" w:rsidRDefault="008C4F6A" w:rsidP="008C4F6A">
            <w:pPr>
              <w:spacing w:after="0" w:line="240" w:lineRule="auto"/>
              <w:jc w:val="right"/>
              <w:rPr>
                <w:rFonts w:ascii="Times New Roman" w:eastAsia="Times New Roman" w:hAnsi="Times New Roman"/>
                <w:lang w:val="en-CA"/>
              </w:rPr>
            </w:pPr>
            <w:r w:rsidRPr="008C4F6A">
              <w:rPr>
                <w:rFonts w:ascii="Times New Roman" w:eastAsia="Times New Roman" w:hAnsi="Times New Roman"/>
                <w:lang w:val="en-CA"/>
              </w:rPr>
              <w:t>163,849.00</w:t>
            </w:r>
          </w:p>
        </w:tc>
        <w:tc>
          <w:tcPr>
            <w:tcW w:w="1300" w:type="dxa"/>
            <w:tcBorders>
              <w:top w:val="nil"/>
              <w:left w:val="nil"/>
              <w:bottom w:val="nil"/>
              <w:right w:val="nil"/>
            </w:tcBorders>
            <w:shd w:val="clear" w:color="auto" w:fill="auto"/>
            <w:vAlign w:val="center"/>
            <w:hideMark/>
          </w:tcPr>
          <w:p w14:paraId="09B66212" w14:textId="77777777" w:rsidR="008C4F6A" w:rsidRPr="008C4F6A" w:rsidRDefault="008C4F6A" w:rsidP="008C4F6A">
            <w:pPr>
              <w:spacing w:after="0" w:line="240" w:lineRule="auto"/>
              <w:jc w:val="right"/>
              <w:rPr>
                <w:rFonts w:ascii="Times New Roman" w:eastAsia="Times New Roman" w:hAnsi="Times New Roman"/>
                <w:lang w:val="en-CA"/>
              </w:rPr>
            </w:pPr>
            <w:r w:rsidRPr="008C4F6A">
              <w:rPr>
                <w:rFonts w:ascii="Times New Roman" w:eastAsia="Times New Roman" w:hAnsi="Times New Roman"/>
                <w:lang w:val="en-CA"/>
              </w:rPr>
              <w:t>206,886.00</w:t>
            </w:r>
          </w:p>
        </w:tc>
      </w:tr>
      <w:tr w:rsidR="008C4F6A" w:rsidRPr="008C4F6A" w14:paraId="15F61796" w14:textId="77777777" w:rsidTr="008C4F6A">
        <w:trPr>
          <w:trHeight w:val="480"/>
        </w:trPr>
        <w:tc>
          <w:tcPr>
            <w:tcW w:w="1300" w:type="dxa"/>
            <w:tcBorders>
              <w:top w:val="nil"/>
              <w:left w:val="nil"/>
              <w:bottom w:val="nil"/>
              <w:right w:val="nil"/>
            </w:tcBorders>
            <w:shd w:val="clear" w:color="auto" w:fill="auto"/>
            <w:vAlign w:val="center"/>
            <w:hideMark/>
          </w:tcPr>
          <w:p w14:paraId="2027EAAB"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Selling &amp; administrative</w:t>
            </w:r>
          </w:p>
        </w:tc>
        <w:tc>
          <w:tcPr>
            <w:tcW w:w="1300" w:type="dxa"/>
            <w:tcBorders>
              <w:top w:val="nil"/>
              <w:left w:val="nil"/>
              <w:bottom w:val="nil"/>
              <w:right w:val="nil"/>
            </w:tcBorders>
            <w:shd w:val="clear" w:color="auto" w:fill="auto"/>
            <w:vAlign w:val="center"/>
            <w:hideMark/>
          </w:tcPr>
          <w:p w14:paraId="36625692" w14:textId="77777777" w:rsidR="008C4F6A" w:rsidRPr="008C4F6A" w:rsidRDefault="008C4F6A" w:rsidP="008C4F6A">
            <w:pPr>
              <w:spacing w:after="0" w:line="240" w:lineRule="auto"/>
              <w:jc w:val="right"/>
              <w:rPr>
                <w:rFonts w:ascii="Times New Roman" w:eastAsia="Times New Roman" w:hAnsi="Times New Roman"/>
                <w:lang w:val="en-CA"/>
              </w:rPr>
            </w:pPr>
            <w:r w:rsidRPr="008C4F6A">
              <w:rPr>
                <w:rFonts w:ascii="Times New Roman" w:eastAsia="Times New Roman" w:hAnsi="Times New Roman"/>
                <w:lang w:val="en-CA"/>
              </w:rPr>
              <w:t>32,223.00</w:t>
            </w:r>
          </w:p>
        </w:tc>
        <w:tc>
          <w:tcPr>
            <w:tcW w:w="1300" w:type="dxa"/>
            <w:tcBorders>
              <w:top w:val="nil"/>
              <w:left w:val="nil"/>
              <w:bottom w:val="nil"/>
              <w:right w:val="nil"/>
            </w:tcBorders>
            <w:shd w:val="clear" w:color="auto" w:fill="auto"/>
            <w:vAlign w:val="center"/>
            <w:hideMark/>
          </w:tcPr>
          <w:p w14:paraId="759FFE92" w14:textId="77777777" w:rsidR="008C4F6A" w:rsidRPr="008C4F6A" w:rsidRDefault="008C4F6A" w:rsidP="008C4F6A">
            <w:pPr>
              <w:spacing w:after="0" w:line="240" w:lineRule="auto"/>
              <w:jc w:val="right"/>
              <w:rPr>
                <w:rFonts w:ascii="Times New Roman" w:eastAsia="Times New Roman" w:hAnsi="Times New Roman"/>
                <w:lang w:val="en-CA"/>
              </w:rPr>
            </w:pPr>
            <w:r w:rsidRPr="008C4F6A">
              <w:rPr>
                <w:rFonts w:ascii="Times New Roman" w:eastAsia="Times New Roman" w:hAnsi="Times New Roman"/>
                <w:lang w:val="en-CA"/>
              </w:rPr>
              <w:t>42,058.00</w:t>
            </w:r>
          </w:p>
        </w:tc>
      </w:tr>
      <w:tr w:rsidR="008C4F6A" w:rsidRPr="008C4F6A" w14:paraId="0C1D169B" w14:textId="77777777" w:rsidTr="008C4F6A">
        <w:trPr>
          <w:trHeight w:val="740"/>
        </w:trPr>
        <w:tc>
          <w:tcPr>
            <w:tcW w:w="1300" w:type="dxa"/>
            <w:tcBorders>
              <w:top w:val="nil"/>
              <w:left w:val="nil"/>
              <w:bottom w:val="nil"/>
              <w:right w:val="nil"/>
            </w:tcBorders>
            <w:shd w:val="clear" w:color="auto" w:fill="auto"/>
            <w:vAlign w:val="center"/>
            <w:hideMark/>
          </w:tcPr>
          <w:p w14:paraId="1CF38260"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Depreciation</w:t>
            </w:r>
          </w:p>
        </w:tc>
        <w:tc>
          <w:tcPr>
            <w:tcW w:w="1300" w:type="dxa"/>
            <w:tcBorders>
              <w:top w:val="nil"/>
              <w:left w:val="nil"/>
              <w:bottom w:val="single" w:sz="8" w:space="0" w:color="auto"/>
              <w:right w:val="nil"/>
            </w:tcBorders>
            <w:shd w:val="clear" w:color="auto" w:fill="auto"/>
            <w:vAlign w:val="center"/>
            <w:hideMark/>
          </w:tcPr>
          <w:p w14:paraId="44DD6F25"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46,255.00</w:t>
            </w:r>
          </w:p>
        </w:tc>
        <w:tc>
          <w:tcPr>
            <w:tcW w:w="1300" w:type="dxa"/>
            <w:tcBorders>
              <w:top w:val="nil"/>
              <w:left w:val="nil"/>
              <w:bottom w:val="single" w:sz="8" w:space="0" w:color="auto"/>
              <w:right w:val="nil"/>
            </w:tcBorders>
            <w:shd w:val="clear" w:color="auto" w:fill="auto"/>
            <w:vAlign w:val="center"/>
            <w:hideMark/>
          </w:tcPr>
          <w:p w14:paraId="7DFDC936"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52,282.00</w:t>
            </w:r>
          </w:p>
        </w:tc>
      </w:tr>
      <w:tr w:rsidR="008C4F6A" w:rsidRPr="008C4F6A" w14:paraId="47CB8084" w14:textId="77777777" w:rsidTr="008C4F6A">
        <w:trPr>
          <w:trHeight w:val="480"/>
        </w:trPr>
        <w:tc>
          <w:tcPr>
            <w:tcW w:w="1300" w:type="dxa"/>
            <w:tcBorders>
              <w:top w:val="nil"/>
              <w:left w:val="nil"/>
              <w:bottom w:val="nil"/>
              <w:right w:val="nil"/>
            </w:tcBorders>
            <w:shd w:val="clear" w:color="auto" w:fill="auto"/>
            <w:vAlign w:val="center"/>
            <w:hideMark/>
          </w:tcPr>
          <w:p w14:paraId="52F8E0B2"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EBIT</w:t>
            </w:r>
          </w:p>
        </w:tc>
        <w:tc>
          <w:tcPr>
            <w:tcW w:w="1300" w:type="dxa"/>
            <w:tcBorders>
              <w:top w:val="nil"/>
              <w:left w:val="nil"/>
              <w:bottom w:val="nil"/>
              <w:right w:val="nil"/>
            </w:tcBorders>
            <w:shd w:val="clear" w:color="auto" w:fill="auto"/>
            <w:vAlign w:val="center"/>
            <w:hideMark/>
          </w:tcPr>
          <w:p w14:paraId="30D0E2D5"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79,110.00</w:t>
            </w:r>
          </w:p>
        </w:tc>
        <w:tc>
          <w:tcPr>
            <w:tcW w:w="1300" w:type="dxa"/>
            <w:tcBorders>
              <w:top w:val="nil"/>
              <w:left w:val="nil"/>
              <w:bottom w:val="nil"/>
              <w:right w:val="nil"/>
            </w:tcBorders>
            <w:shd w:val="clear" w:color="auto" w:fill="auto"/>
            <w:vAlign w:val="center"/>
            <w:hideMark/>
          </w:tcPr>
          <w:p w14:paraId="589ADADF"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90,584.00</w:t>
            </w:r>
          </w:p>
        </w:tc>
      </w:tr>
      <w:tr w:rsidR="008C4F6A" w:rsidRPr="008C4F6A" w14:paraId="298E935A" w14:textId="77777777" w:rsidTr="008C4F6A">
        <w:trPr>
          <w:trHeight w:val="500"/>
        </w:trPr>
        <w:tc>
          <w:tcPr>
            <w:tcW w:w="1300" w:type="dxa"/>
            <w:tcBorders>
              <w:top w:val="nil"/>
              <w:left w:val="nil"/>
              <w:bottom w:val="nil"/>
              <w:right w:val="nil"/>
            </w:tcBorders>
            <w:shd w:val="clear" w:color="auto" w:fill="auto"/>
            <w:vAlign w:val="center"/>
            <w:hideMark/>
          </w:tcPr>
          <w:p w14:paraId="650E2A2F"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Interest</w:t>
            </w:r>
          </w:p>
        </w:tc>
        <w:tc>
          <w:tcPr>
            <w:tcW w:w="1300" w:type="dxa"/>
            <w:tcBorders>
              <w:top w:val="nil"/>
              <w:left w:val="nil"/>
              <w:bottom w:val="single" w:sz="8" w:space="0" w:color="auto"/>
              <w:right w:val="nil"/>
            </w:tcBorders>
            <w:shd w:val="clear" w:color="auto" w:fill="auto"/>
            <w:vAlign w:val="center"/>
            <w:hideMark/>
          </w:tcPr>
          <w:p w14:paraId="6B752BEE"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10,056.00</w:t>
            </w:r>
          </w:p>
        </w:tc>
        <w:tc>
          <w:tcPr>
            <w:tcW w:w="1300" w:type="dxa"/>
            <w:tcBorders>
              <w:top w:val="nil"/>
              <w:left w:val="nil"/>
              <w:bottom w:val="single" w:sz="8" w:space="0" w:color="auto"/>
              <w:right w:val="nil"/>
            </w:tcBorders>
            <w:shd w:val="clear" w:color="auto" w:fill="auto"/>
            <w:vAlign w:val="center"/>
            <w:hideMark/>
          </w:tcPr>
          <w:p w14:paraId="09234805"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11,526.00</w:t>
            </w:r>
          </w:p>
        </w:tc>
      </w:tr>
      <w:tr w:rsidR="008C4F6A" w:rsidRPr="008C4F6A" w14:paraId="468316D1" w14:textId="77777777" w:rsidTr="008C4F6A">
        <w:trPr>
          <w:trHeight w:val="500"/>
        </w:trPr>
        <w:tc>
          <w:tcPr>
            <w:tcW w:w="1300" w:type="dxa"/>
            <w:tcBorders>
              <w:top w:val="nil"/>
              <w:left w:val="nil"/>
              <w:bottom w:val="nil"/>
              <w:right w:val="nil"/>
            </w:tcBorders>
            <w:shd w:val="clear" w:color="auto" w:fill="auto"/>
            <w:vAlign w:val="center"/>
            <w:hideMark/>
          </w:tcPr>
          <w:p w14:paraId="5DB7ABA0"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EBT</w:t>
            </w:r>
          </w:p>
        </w:tc>
        <w:tc>
          <w:tcPr>
            <w:tcW w:w="1300" w:type="dxa"/>
            <w:tcBorders>
              <w:top w:val="nil"/>
              <w:left w:val="nil"/>
              <w:bottom w:val="nil"/>
              <w:right w:val="nil"/>
            </w:tcBorders>
            <w:shd w:val="clear" w:color="auto" w:fill="auto"/>
            <w:vAlign w:val="center"/>
            <w:hideMark/>
          </w:tcPr>
          <w:p w14:paraId="6A400159"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69,054.00</w:t>
            </w:r>
          </w:p>
        </w:tc>
        <w:tc>
          <w:tcPr>
            <w:tcW w:w="1300" w:type="dxa"/>
            <w:tcBorders>
              <w:top w:val="nil"/>
              <w:left w:val="nil"/>
              <w:bottom w:val="nil"/>
              <w:right w:val="nil"/>
            </w:tcBorders>
            <w:shd w:val="clear" w:color="auto" w:fill="auto"/>
            <w:vAlign w:val="center"/>
            <w:hideMark/>
          </w:tcPr>
          <w:p w14:paraId="3480A693"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79,058.00</w:t>
            </w:r>
          </w:p>
        </w:tc>
      </w:tr>
      <w:tr w:rsidR="008C4F6A" w:rsidRPr="008C4F6A" w14:paraId="5F5D9005" w14:textId="77777777" w:rsidTr="008C4F6A">
        <w:trPr>
          <w:trHeight w:val="500"/>
        </w:trPr>
        <w:tc>
          <w:tcPr>
            <w:tcW w:w="1300" w:type="dxa"/>
            <w:tcBorders>
              <w:top w:val="nil"/>
              <w:left w:val="nil"/>
              <w:bottom w:val="nil"/>
              <w:right w:val="nil"/>
            </w:tcBorders>
            <w:shd w:val="clear" w:color="auto" w:fill="auto"/>
            <w:vAlign w:val="center"/>
            <w:hideMark/>
          </w:tcPr>
          <w:p w14:paraId="2E0F195B"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Taxes (20%)</w:t>
            </w:r>
          </w:p>
        </w:tc>
        <w:tc>
          <w:tcPr>
            <w:tcW w:w="1300" w:type="dxa"/>
            <w:tcBorders>
              <w:top w:val="nil"/>
              <w:left w:val="nil"/>
              <w:bottom w:val="single" w:sz="8" w:space="0" w:color="auto"/>
              <w:right w:val="nil"/>
            </w:tcBorders>
            <w:shd w:val="clear" w:color="auto" w:fill="auto"/>
            <w:vAlign w:val="center"/>
            <w:hideMark/>
          </w:tcPr>
          <w:p w14:paraId="144C9233"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13,810.80</w:t>
            </w:r>
          </w:p>
        </w:tc>
        <w:tc>
          <w:tcPr>
            <w:tcW w:w="1300" w:type="dxa"/>
            <w:tcBorders>
              <w:top w:val="nil"/>
              <w:left w:val="nil"/>
              <w:bottom w:val="single" w:sz="8" w:space="0" w:color="auto"/>
              <w:right w:val="nil"/>
            </w:tcBorders>
            <w:shd w:val="clear" w:color="auto" w:fill="auto"/>
            <w:vAlign w:val="center"/>
            <w:hideMark/>
          </w:tcPr>
          <w:p w14:paraId="589175B5"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15,811.60</w:t>
            </w:r>
          </w:p>
        </w:tc>
      </w:tr>
      <w:tr w:rsidR="008C4F6A" w:rsidRPr="008C4F6A" w14:paraId="5EA92853" w14:textId="77777777" w:rsidTr="008C4F6A">
        <w:trPr>
          <w:trHeight w:val="320"/>
        </w:trPr>
        <w:tc>
          <w:tcPr>
            <w:tcW w:w="1300" w:type="dxa"/>
            <w:tcBorders>
              <w:top w:val="nil"/>
              <w:left w:val="nil"/>
              <w:bottom w:val="nil"/>
              <w:right w:val="nil"/>
            </w:tcBorders>
            <w:shd w:val="clear" w:color="auto" w:fill="auto"/>
            <w:vAlign w:val="center"/>
            <w:hideMark/>
          </w:tcPr>
          <w:p w14:paraId="236B05E8"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Net income</w:t>
            </w:r>
          </w:p>
        </w:tc>
        <w:tc>
          <w:tcPr>
            <w:tcW w:w="1300" w:type="dxa"/>
            <w:tcBorders>
              <w:top w:val="nil"/>
              <w:left w:val="nil"/>
              <w:bottom w:val="single" w:sz="8" w:space="0" w:color="auto"/>
              <w:right w:val="nil"/>
            </w:tcBorders>
            <w:shd w:val="clear" w:color="auto" w:fill="auto"/>
            <w:vAlign w:val="center"/>
            <w:hideMark/>
          </w:tcPr>
          <w:p w14:paraId="5BCE52F2"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55,243.20</w:t>
            </w:r>
          </w:p>
        </w:tc>
        <w:tc>
          <w:tcPr>
            <w:tcW w:w="1300" w:type="dxa"/>
            <w:tcBorders>
              <w:top w:val="nil"/>
              <w:left w:val="nil"/>
              <w:bottom w:val="single" w:sz="8" w:space="0" w:color="auto"/>
              <w:right w:val="nil"/>
            </w:tcBorders>
            <w:shd w:val="clear" w:color="auto" w:fill="auto"/>
            <w:vAlign w:val="center"/>
            <w:hideMark/>
          </w:tcPr>
          <w:p w14:paraId="1550FA90"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63,246.40</w:t>
            </w:r>
          </w:p>
        </w:tc>
      </w:tr>
      <w:tr w:rsidR="008C4F6A" w:rsidRPr="008C4F6A" w14:paraId="05E5D833" w14:textId="77777777" w:rsidTr="008C4F6A">
        <w:trPr>
          <w:trHeight w:val="480"/>
        </w:trPr>
        <w:tc>
          <w:tcPr>
            <w:tcW w:w="1300" w:type="dxa"/>
            <w:tcBorders>
              <w:top w:val="nil"/>
              <w:left w:val="nil"/>
              <w:bottom w:val="nil"/>
              <w:right w:val="nil"/>
            </w:tcBorders>
            <w:shd w:val="clear" w:color="auto" w:fill="auto"/>
            <w:vAlign w:val="center"/>
            <w:hideMark/>
          </w:tcPr>
          <w:p w14:paraId="1A7CD2F8" w14:textId="77777777" w:rsidR="008C4F6A" w:rsidRPr="008C4F6A" w:rsidRDefault="008C4F6A" w:rsidP="008C4F6A">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41B62D44" w14:textId="77777777" w:rsidR="008C4F6A" w:rsidRPr="008C4F6A" w:rsidRDefault="008C4F6A" w:rsidP="008C4F6A">
            <w:pPr>
              <w:spacing w:after="0" w:line="240" w:lineRule="auto"/>
              <w:jc w:val="right"/>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04F353E3" w14:textId="77777777" w:rsidR="008C4F6A" w:rsidRPr="008C4F6A" w:rsidRDefault="008C4F6A" w:rsidP="008C4F6A">
            <w:pPr>
              <w:spacing w:after="0" w:line="240" w:lineRule="auto"/>
              <w:jc w:val="right"/>
              <w:rPr>
                <w:rFonts w:ascii="Times New Roman" w:eastAsia="Times New Roman" w:hAnsi="Times New Roman"/>
                <w:color w:val="000000"/>
                <w:lang w:val="en-CA"/>
              </w:rPr>
            </w:pPr>
          </w:p>
        </w:tc>
      </w:tr>
      <w:tr w:rsidR="008C4F6A" w:rsidRPr="008C4F6A" w14:paraId="07C69165" w14:textId="77777777" w:rsidTr="008C4F6A">
        <w:trPr>
          <w:trHeight w:val="300"/>
        </w:trPr>
        <w:tc>
          <w:tcPr>
            <w:tcW w:w="1300" w:type="dxa"/>
            <w:tcBorders>
              <w:top w:val="nil"/>
              <w:left w:val="nil"/>
              <w:bottom w:val="nil"/>
              <w:right w:val="nil"/>
            </w:tcBorders>
            <w:shd w:val="clear" w:color="auto" w:fill="auto"/>
            <w:vAlign w:val="center"/>
            <w:hideMark/>
          </w:tcPr>
          <w:p w14:paraId="5DA3E0DC"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Dividends</w:t>
            </w:r>
          </w:p>
        </w:tc>
        <w:tc>
          <w:tcPr>
            <w:tcW w:w="1300" w:type="dxa"/>
            <w:tcBorders>
              <w:top w:val="nil"/>
              <w:left w:val="nil"/>
              <w:bottom w:val="nil"/>
              <w:right w:val="nil"/>
            </w:tcBorders>
            <w:shd w:val="clear" w:color="auto" w:fill="auto"/>
            <w:vAlign w:val="center"/>
            <w:hideMark/>
          </w:tcPr>
          <w:p w14:paraId="72F64AEF"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27,621.60</w:t>
            </w:r>
          </w:p>
        </w:tc>
        <w:tc>
          <w:tcPr>
            <w:tcW w:w="1300" w:type="dxa"/>
            <w:tcBorders>
              <w:top w:val="nil"/>
              <w:left w:val="nil"/>
              <w:bottom w:val="nil"/>
              <w:right w:val="nil"/>
            </w:tcBorders>
            <w:shd w:val="clear" w:color="auto" w:fill="auto"/>
            <w:vAlign w:val="center"/>
            <w:hideMark/>
          </w:tcPr>
          <w:p w14:paraId="6DA5AC0E"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31,623.20</w:t>
            </w:r>
          </w:p>
        </w:tc>
      </w:tr>
      <w:tr w:rsidR="008C4F6A" w:rsidRPr="008C4F6A" w14:paraId="48658734" w14:textId="77777777" w:rsidTr="008C4F6A">
        <w:trPr>
          <w:trHeight w:val="740"/>
        </w:trPr>
        <w:tc>
          <w:tcPr>
            <w:tcW w:w="1300" w:type="dxa"/>
            <w:tcBorders>
              <w:top w:val="nil"/>
              <w:left w:val="nil"/>
              <w:bottom w:val="nil"/>
              <w:right w:val="nil"/>
            </w:tcBorders>
            <w:shd w:val="clear" w:color="auto" w:fill="auto"/>
            <w:vAlign w:val="center"/>
            <w:hideMark/>
          </w:tcPr>
          <w:p w14:paraId="67C4905A" w14:textId="77777777" w:rsidR="008C4F6A" w:rsidRPr="008C4F6A" w:rsidRDefault="008C4F6A" w:rsidP="008C4F6A">
            <w:pPr>
              <w:spacing w:after="0" w:line="240" w:lineRule="auto"/>
              <w:rPr>
                <w:rFonts w:ascii="Times New Roman" w:eastAsia="Times New Roman" w:hAnsi="Times New Roman"/>
                <w:color w:val="000000"/>
                <w:lang w:val="en-CA"/>
              </w:rPr>
            </w:pPr>
            <w:r w:rsidRPr="008C4F6A">
              <w:rPr>
                <w:rFonts w:ascii="Times New Roman" w:eastAsia="Times New Roman" w:hAnsi="Times New Roman"/>
                <w:color w:val="000000"/>
                <w:lang w:val="en-CA"/>
              </w:rPr>
              <w:t>Addition to retained earnings</w:t>
            </w:r>
          </w:p>
        </w:tc>
        <w:tc>
          <w:tcPr>
            <w:tcW w:w="1300" w:type="dxa"/>
            <w:tcBorders>
              <w:top w:val="nil"/>
              <w:left w:val="nil"/>
              <w:bottom w:val="nil"/>
              <w:right w:val="nil"/>
            </w:tcBorders>
            <w:shd w:val="clear" w:color="auto" w:fill="auto"/>
            <w:vAlign w:val="center"/>
            <w:hideMark/>
          </w:tcPr>
          <w:p w14:paraId="7AE2C387"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27,621.60</w:t>
            </w:r>
          </w:p>
        </w:tc>
        <w:tc>
          <w:tcPr>
            <w:tcW w:w="1300" w:type="dxa"/>
            <w:tcBorders>
              <w:top w:val="nil"/>
              <w:left w:val="nil"/>
              <w:bottom w:val="nil"/>
              <w:right w:val="nil"/>
            </w:tcBorders>
            <w:shd w:val="clear" w:color="auto" w:fill="auto"/>
            <w:vAlign w:val="center"/>
            <w:hideMark/>
          </w:tcPr>
          <w:p w14:paraId="68741564" w14:textId="77777777" w:rsidR="008C4F6A" w:rsidRPr="008C4F6A" w:rsidRDefault="008C4F6A" w:rsidP="008C4F6A">
            <w:pPr>
              <w:spacing w:after="0" w:line="240" w:lineRule="auto"/>
              <w:jc w:val="right"/>
              <w:rPr>
                <w:rFonts w:ascii="Times New Roman" w:eastAsia="Times New Roman" w:hAnsi="Times New Roman"/>
                <w:color w:val="000000"/>
                <w:lang w:val="en-CA"/>
              </w:rPr>
            </w:pPr>
            <w:r w:rsidRPr="008C4F6A">
              <w:rPr>
                <w:rFonts w:ascii="Times New Roman" w:eastAsia="Times New Roman" w:hAnsi="Times New Roman"/>
                <w:color w:val="000000"/>
                <w:lang w:val="en-CA"/>
              </w:rPr>
              <w:t>31,623.20</w:t>
            </w:r>
          </w:p>
        </w:tc>
      </w:tr>
    </w:tbl>
    <w:p w14:paraId="5B8D8064" w14:textId="77777777" w:rsidR="008C4F6A" w:rsidRDefault="008C4F6A" w:rsidP="007D59AC">
      <w:pPr>
        <w:autoSpaceDE w:val="0"/>
        <w:autoSpaceDN w:val="0"/>
        <w:adjustRightInd w:val="0"/>
        <w:spacing w:after="0" w:line="240" w:lineRule="auto"/>
        <w:rPr>
          <w:rFonts w:ascii="Times New Roman" w:hAnsi="Times New Roman"/>
          <w:b/>
          <w:bCs/>
        </w:rPr>
      </w:pPr>
    </w:p>
    <w:p w14:paraId="5E836933" w14:textId="77777777" w:rsidR="008C4F6A" w:rsidRPr="00A64C8C" w:rsidRDefault="008C4F6A" w:rsidP="007D59AC">
      <w:pPr>
        <w:autoSpaceDE w:val="0"/>
        <w:autoSpaceDN w:val="0"/>
        <w:adjustRightInd w:val="0"/>
        <w:spacing w:after="0" w:line="240" w:lineRule="auto"/>
        <w:rPr>
          <w:rFonts w:ascii="Times New Roman" w:hAnsi="Times New Roman"/>
          <w:b/>
          <w:bCs/>
        </w:rPr>
      </w:pPr>
    </w:p>
    <w:p w14:paraId="49888892" w14:textId="77777777" w:rsidR="003D111D" w:rsidRPr="00A64C8C" w:rsidRDefault="003D111D" w:rsidP="00934397">
      <w:pPr>
        <w:pStyle w:val="ListParagraph"/>
        <w:numPr>
          <w:ilvl w:val="0"/>
          <w:numId w:val="1"/>
        </w:numPr>
        <w:autoSpaceDE w:val="0"/>
        <w:autoSpaceDN w:val="0"/>
        <w:adjustRightInd w:val="0"/>
        <w:spacing w:after="0" w:line="240" w:lineRule="auto"/>
        <w:rPr>
          <w:rFonts w:ascii="Times New Roman" w:hAnsi="Times New Roman"/>
        </w:rPr>
      </w:pPr>
      <w:r w:rsidRPr="00A64C8C">
        <w:rPr>
          <w:rFonts w:ascii="Times New Roman" w:hAnsi="Times New Roman"/>
        </w:rPr>
        <w:t>The balance sheet for each year will be:</w:t>
      </w:r>
    </w:p>
    <w:p w14:paraId="15EC18B1" w14:textId="77777777" w:rsidR="003D111D" w:rsidRPr="00A64C8C" w:rsidRDefault="003D111D" w:rsidP="004B276B">
      <w:pPr>
        <w:autoSpaceDE w:val="0"/>
        <w:autoSpaceDN w:val="0"/>
        <w:adjustRightInd w:val="0"/>
        <w:spacing w:after="0" w:line="240" w:lineRule="auto"/>
        <w:rPr>
          <w:rFonts w:ascii="Times New Roman" w:hAnsi="Times New Roman"/>
        </w:rPr>
      </w:pPr>
    </w:p>
    <w:p w14:paraId="0277AE05" w14:textId="5FF8384D" w:rsidR="003D111D" w:rsidRPr="00417662" w:rsidRDefault="00674D55" w:rsidP="00934397">
      <w:pPr>
        <w:autoSpaceDE w:val="0"/>
        <w:autoSpaceDN w:val="0"/>
        <w:adjustRightInd w:val="0"/>
        <w:spacing w:after="0" w:line="240" w:lineRule="auto"/>
        <w:rPr>
          <w:rFonts w:ascii="Times New Roman" w:hAnsi="Times New Roman"/>
          <w:i/>
        </w:rPr>
      </w:pPr>
      <w:r w:rsidRPr="00417662">
        <w:rPr>
          <w:rFonts w:ascii="Times New Roman" w:hAnsi="Times New Roman"/>
          <w:i/>
        </w:rPr>
        <w:t>Balance Sheet as of December 31, 201</w:t>
      </w:r>
      <w:r w:rsidR="00CF0789">
        <w:rPr>
          <w:rFonts w:ascii="Times New Roman" w:hAnsi="Times New Roman"/>
          <w:i/>
        </w:rPr>
        <w:t>7</w:t>
      </w:r>
    </w:p>
    <w:p w14:paraId="0649D8FF" w14:textId="77777777" w:rsidR="00674D55" w:rsidRDefault="00674D55" w:rsidP="00934397">
      <w:pPr>
        <w:autoSpaceDE w:val="0"/>
        <w:autoSpaceDN w:val="0"/>
        <w:adjustRightInd w:val="0"/>
        <w:spacing w:after="0" w:line="240" w:lineRule="auto"/>
        <w:rPr>
          <w:rFonts w:ascii="Times New Roman" w:hAnsi="Times New Roman"/>
        </w:rPr>
      </w:pPr>
    </w:p>
    <w:tbl>
      <w:tblPr>
        <w:tblW w:w="6500" w:type="dxa"/>
        <w:tblInd w:w="93" w:type="dxa"/>
        <w:tblLook w:val="04A0" w:firstRow="1" w:lastRow="0" w:firstColumn="1" w:lastColumn="0" w:noHBand="0" w:noVBand="1"/>
      </w:tblPr>
      <w:tblGrid>
        <w:gridCol w:w="1300"/>
        <w:gridCol w:w="1300"/>
        <w:gridCol w:w="1300"/>
        <w:gridCol w:w="1300"/>
        <w:gridCol w:w="1300"/>
      </w:tblGrid>
      <w:tr w:rsidR="00674D55" w:rsidRPr="00674D55" w14:paraId="07F84FE1" w14:textId="77777777" w:rsidTr="00674D55">
        <w:trPr>
          <w:trHeight w:val="480"/>
        </w:trPr>
        <w:tc>
          <w:tcPr>
            <w:tcW w:w="1300" w:type="dxa"/>
            <w:tcBorders>
              <w:top w:val="nil"/>
              <w:left w:val="nil"/>
              <w:bottom w:val="nil"/>
              <w:right w:val="nil"/>
            </w:tcBorders>
            <w:shd w:val="clear" w:color="auto" w:fill="auto"/>
            <w:vAlign w:val="center"/>
            <w:hideMark/>
          </w:tcPr>
          <w:p w14:paraId="59A6AC56"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lastRenderedPageBreak/>
              <w:t xml:space="preserve">Cash </w:t>
            </w:r>
          </w:p>
        </w:tc>
        <w:tc>
          <w:tcPr>
            <w:tcW w:w="1300" w:type="dxa"/>
            <w:tcBorders>
              <w:top w:val="nil"/>
              <w:left w:val="nil"/>
              <w:bottom w:val="nil"/>
              <w:right w:val="nil"/>
            </w:tcBorders>
            <w:shd w:val="clear" w:color="auto" w:fill="auto"/>
            <w:vAlign w:val="center"/>
            <w:hideMark/>
          </w:tcPr>
          <w:p w14:paraId="6A2E3D5A"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$23,643</w:t>
            </w:r>
          </w:p>
        </w:tc>
        <w:tc>
          <w:tcPr>
            <w:tcW w:w="1300" w:type="dxa"/>
            <w:tcBorders>
              <w:top w:val="nil"/>
              <w:left w:val="nil"/>
              <w:bottom w:val="nil"/>
              <w:right w:val="nil"/>
            </w:tcBorders>
            <w:shd w:val="clear" w:color="auto" w:fill="auto"/>
            <w:vAlign w:val="center"/>
            <w:hideMark/>
          </w:tcPr>
          <w:p w14:paraId="0AF484EF"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619C7321"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Accounts payable</w:t>
            </w:r>
          </w:p>
        </w:tc>
        <w:tc>
          <w:tcPr>
            <w:tcW w:w="1300" w:type="dxa"/>
            <w:tcBorders>
              <w:top w:val="nil"/>
              <w:left w:val="nil"/>
              <w:bottom w:val="nil"/>
              <w:right w:val="nil"/>
            </w:tcBorders>
            <w:shd w:val="clear" w:color="auto" w:fill="auto"/>
            <w:vAlign w:val="center"/>
            <w:hideMark/>
          </w:tcPr>
          <w:p w14:paraId="49F99C91"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$41,786</w:t>
            </w:r>
          </w:p>
        </w:tc>
      </w:tr>
      <w:tr w:rsidR="00674D55" w:rsidRPr="00674D55" w14:paraId="6BAE74CC" w14:textId="77777777" w:rsidTr="00674D55">
        <w:trPr>
          <w:trHeight w:val="500"/>
        </w:trPr>
        <w:tc>
          <w:tcPr>
            <w:tcW w:w="1300" w:type="dxa"/>
            <w:tcBorders>
              <w:top w:val="nil"/>
              <w:left w:val="nil"/>
              <w:bottom w:val="nil"/>
              <w:right w:val="nil"/>
            </w:tcBorders>
            <w:shd w:val="clear" w:color="auto" w:fill="auto"/>
            <w:vAlign w:val="center"/>
            <w:hideMark/>
          </w:tcPr>
          <w:p w14:paraId="5C1D1F1D"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 xml:space="preserve">Accounts receivable </w:t>
            </w:r>
          </w:p>
        </w:tc>
        <w:tc>
          <w:tcPr>
            <w:tcW w:w="1300" w:type="dxa"/>
            <w:tcBorders>
              <w:top w:val="nil"/>
              <w:left w:val="nil"/>
              <w:bottom w:val="nil"/>
              <w:right w:val="nil"/>
            </w:tcBorders>
            <w:shd w:val="clear" w:color="auto" w:fill="auto"/>
            <w:vAlign w:val="center"/>
            <w:hideMark/>
          </w:tcPr>
          <w:p w14:paraId="643F7419"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16,753</w:t>
            </w:r>
          </w:p>
        </w:tc>
        <w:tc>
          <w:tcPr>
            <w:tcW w:w="1300" w:type="dxa"/>
            <w:tcBorders>
              <w:top w:val="nil"/>
              <w:left w:val="nil"/>
              <w:bottom w:val="nil"/>
              <w:right w:val="nil"/>
            </w:tcBorders>
            <w:shd w:val="clear" w:color="auto" w:fill="auto"/>
            <w:vAlign w:val="center"/>
            <w:hideMark/>
          </w:tcPr>
          <w:p w14:paraId="7155D7BE"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05428D1D"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Notes payable</w:t>
            </w:r>
          </w:p>
        </w:tc>
        <w:tc>
          <w:tcPr>
            <w:tcW w:w="1300" w:type="dxa"/>
            <w:tcBorders>
              <w:top w:val="nil"/>
              <w:left w:val="nil"/>
              <w:bottom w:val="single" w:sz="8" w:space="0" w:color="auto"/>
              <w:right w:val="nil"/>
            </w:tcBorders>
            <w:shd w:val="clear" w:color="auto" w:fill="auto"/>
            <w:vAlign w:val="center"/>
            <w:hideMark/>
          </w:tcPr>
          <w:p w14:paraId="652C3307"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19,046</w:t>
            </w:r>
          </w:p>
        </w:tc>
      </w:tr>
      <w:tr w:rsidR="00674D55" w:rsidRPr="00674D55" w14:paraId="744C7D79" w14:textId="77777777" w:rsidTr="00674D55">
        <w:trPr>
          <w:trHeight w:val="500"/>
        </w:trPr>
        <w:tc>
          <w:tcPr>
            <w:tcW w:w="1300" w:type="dxa"/>
            <w:tcBorders>
              <w:top w:val="nil"/>
              <w:left w:val="nil"/>
              <w:bottom w:val="nil"/>
              <w:right w:val="nil"/>
            </w:tcBorders>
            <w:shd w:val="clear" w:color="auto" w:fill="auto"/>
            <w:vAlign w:val="center"/>
            <w:hideMark/>
          </w:tcPr>
          <w:p w14:paraId="1EC3AD79"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 xml:space="preserve">Inventory </w:t>
            </w:r>
          </w:p>
        </w:tc>
        <w:tc>
          <w:tcPr>
            <w:tcW w:w="1300" w:type="dxa"/>
            <w:tcBorders>
              <w:top w:val="nil"/>
              <w:left w:val="nil"/>
              <w:bottom w:val="single" w:sz="8" w:space="0" w:color="auto"/>
              <w:right w:val="nil"/>
            </w:tcBorders>
            <w:shd w:val="clear" w:color="auto" w:fill="auto"/>
            <w:vAlign w:val="center"/>
            <w:hideMark/>
          </w:tcPr>
          <w:p w14:paraId="53E2BC12"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32,255</w:t>
            </w:r>
          </w:p>
        </w:tc>
        <w:tc>
          <w:tcPr>
            <w:tcW w:w="1300" w:type="dxa"/>
            <w:tcBorders>
              <w:top w:val="nil"/>
              <w:left w:val="nil"/>
              <w:bottom w:val="nil"/>
              <w:right w:val="nil"/>
            </w:tcBorders>
            <w:shd w:val="clear" w:color="auto" w:fill="auto"/>
            <w:vAlign w:val="center"/>
            <w:hideMark/>
          </w:tcPr>
          <w:p w14:paraId="3C55D276"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4377BD21"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Current liabilities</w:t>
            </w:r>
          </w:p>
        </w:tc>
        <w:tc>
          <w:tcPr>
            <w:tcW w:w="1300" w:type="dxa"/>
            <w:tcBorders>
              <w:top w:val="nil"/>
              <w:left w:val="nil"/>
              <w:bottom w:val="nil"/>
              <w:right w:val="nil"/>
            </w:tcBorders>
            <w:shd w:val="clear" w:color="auto" w:fill="auto"/>
            <w:vAlign w:val="center"/>
            <w:hideMark/>
          </w:tcPr>
          <w:p w14:paraId="639F60AB"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$60,832</w:t>
            </w:r>
          </w:p>
        </w:tc>
      </w:tr>
      <w:tr w:rsidR="00674D55" w:rsidRPr="00674D55" w14:paraId="39997A7B" w14:textId="77777777" w:rsidTr="00674D55">
        <w:trPr>
          <w:trHeight w:val="480"/>
        </w:trPr>
        <w:tc>
          <w:tcPr>
            <w:tcW w:w="1300" w:type="dxa"/>
            <w:vMerge w:val="restart"/>
            <w:tcBorders>
              <w:top w:val="nil"/>
              <w:left w:val="nil"/>
              <w:bottom w:val="nil"/>
              <w:right w:val="nil"/>
            </w:tcBorders>
            <w:shd w:val="clear" w:color="auto" w:fill="auto"/>
            <w:vAlign w:val="center"/>
            <w:hideMark/>
          </w:tcPr>
          <w:p w14:paraId="357686BD"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 xml:space="preserve">Current assets </w:t>
            </w:r>
          </w:p>
        </w:tc>
        <w:tc>
          <w:tcPr>
            <w:tcW w:w="1300" w:type="dxa"/>
            <w:vMerge w:val="restart"/>
            <w:tcBorders>
              <w:top w:val="nil"/>
              <w:left w:val="nil"/>
              <w:bottom w:val="nil"/>
              <w:right w:val="nil"/>
            </w:tcBorders>
            <w:shd w:val="clear" w:color="auto" w:fill="auto"/>
            <w:vAlign w:val="center"/>
            <w:hideMark/>
          </w:tcPr>
          <w:p w14:paraId="1F1BDD33"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$72,651</w:t>
            </w:r>
          </w:p>
        </w:tc>
        <w:tc>
          <w:tcPr>
            <w:tcW w:w="1300" w:type="dxa"/>
            <w:vMerge w:val="restart"/>
            <w:tcBorders>
              <w:top w:val="nil"/>
              <w:left w:val="nil"/>
              <w:bottom w:val="nil"/>
              <w:right w:val="nil"/>
            </w:tcBorders>
            <w:shd w:val="clear" w:color="auto" w:fill="auto"/>
            <w:vAlign w:val="center"/>
            <w:hideMark/>
          </w:tcPr>
          <w:p w14:paraId="0B01AD85"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vMerge w:val="restart"/>
            <w:tcBorders>
              <w:top w:val="nil"/>
              <w:left w:val="nil"/>
              <w:bottom w:val="nil"/>
              <w:right w:val="nil"/>
            </w:tcBorders>
            <w:shd w:val="clear" w:color="auto" w:fill="auto"/>
            <w:vAlign w:val="center"/>
            <w:hideMark/>
          </w:tcPr>
          <w:p w14:paraId="5A6A7F70"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vMerge w:val="restart"/>
            <w:tcBorders>
              <w:top w:val="nil"/>
              <w:left w:val="nil"/>
              <w:bottom w:val="nil"/>
              <w:right w:val="nil"/>
            </w:tcBorders>
            <w:shd w:val="clear" w:color="auto" w:fill="auto"/>
            <w:vAlign w:val="center"/>
            <w:hideMark/>
          </w:tcPr>
          <w:p w14:paraId="42A7C766" w14:textId="77777777" w:rsidR="00674D55" w:rsidRPr="00674D55" w:rsidRDefault="00674D55" w:rsidP="00674D55">
            <w:pPr>
              <w:spacing w:after="0" w:line="240" w:lineRule="auto"/>
              <w:jc w:val="right"/>
              <w:rPr>
                <w:rFonts w:ascii="Times New Roman" w:eastAsia="Times New Roman" w:hAnsi="Times New Roman"/>
                <w:color w:val="000000"/>
                <w:lang w:val="en-CA"/>
              </w:rPr>
            </w:pPr>
          </w:p>
        </w:tc>
      </w:tr>
      <w:tr w:rsidR="00674D55" w:rsidRPr="00674D55" w14:paraId="4EAFED8F" w14:textId="77777777" w:rsidTr="00674D55">
        <w:trPr>
          <w:trHeight w:val="740"/>
        </w:trPr>
        <w:tc>
          <w:tcPr>
            <w:tcW w:w="1300" w:type="dxa"/>
            <w:vMerge/>
            <w:tcBorders>
              <w:top w:val="nil"/>
              <w:left w:val="nil"/>
              <w:bottom w:val="nil"/>
              <w:right w:val="nil"/>
            </w:tcBorders>
            <w:vAlign w:val="center"/>
            <w:hideMark/>
          </w:tcPr>
          <w:p w14:paraId="4FFCA623"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vMerge/>
            <w:tcBorders>
              <w:top w:val="nil"/>
              <w:left w:val="nil"/>
              <w:bottom w:val="nil"/>
              <w:right w:val="nil"/>
            </w:tcBorders>
            <w:vAlign w:val="center"/>
            <w:hideMark/>
          </w:tcPr>
          <w:p w14:paraId="2A7E644F"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vMerge/>
            <w:tcBorders>
              <w:top w:val="nil"/>
              <w:left w:val="nil"/>
              <w:bottom w:val="nil"/>
              <w:right w:val="nil"/>
            </w:tcBorders>
            <w:vAlign w:val="center"/>
            <w:hideMark/>
          </w:tcPr>
          <w:p w14:paraId="4DDAEB23"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vMerge/>
            <w:tcBorders>
              <w:top w:val="nil"/>
              <w:left w:val="nil"/>
              <w:bottom w:val="nil"/>
              <w:right w:val="nil"/>
            </w:tcBorders>
            <w:vAlign w:val="center"/>
            <w:hideMark/>
          </w:tcPr>
          <w:p w14:paraId="627B7FA5"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vMerge/>
            <w:tcBorders>
              <w:top w:val="nil"/>
              <w:left w:val="nil"/>
              <w:bottom w:val="nil"/>
              <w:right w:val="nil"/>
            </w:tcBorders>
            <w:vAlign w:val="center"/>
            <w:hideMark/>
          </w:tcPr>
          <w:p w14:paraId="36DCC64B" w14:textId="77777777" w:rsidR="00674D55" w:rsidRPr="00674D55" w:rsidRDefault="00674D55" w:rsidP="00674D55">
            <w:pPr>
              <w:spacing w:after="0" w:line="240" w:lineRule="auto"/>
              <w:rPr>
                <w:rFonts w:ascii="Times New Roman" w:eastAsia="Times New Roman" w:hAnsi="Times New Roman"/>
                <w:color w:val="000000"/>
                <w:lang w:val="en-CA"/>
              </w:rPr>
            </w:pPr>
          </w:p>
        </w:tc>
      </w:tr>
      <w:tr w:rsidR="00674D55" w:rsidRPr="00674D55" w14:paraId="141FB6E6" w14:textId="77777777" w:rsidTr="00674D55">
        <w:trPr>
          <w:trHeight w:val="480"/>
        </w:trPr>
        <w:tc>
          <w:tcPr>
            <w:tcW w:w="1300" w:type="dxa"/>
            <w:tcBorders>
              <w:top w:val="nil"/>
              <w:left w:val="nil"/>
              <w:bottom w:val="nil"/>
              <w:right w:val="nil"/>
            </w:tcBorders>
            <w:shd w:val="clear" w:color="auto" w:fill="auto"/>
            <w:vAlign w:val="center"/>
            <w:hideMark/>
          </w:tcPr>
          <w:p w14:paraId="4E395746"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08D5E77C" w14:textId="77777777" w:rsidR="00674D55" w:rsidRPr="00674D55" w:rsidRDefault="00674D55" w:rsidP="00674D55">
            <w:pPr>
              <w:spacing w:after="0" w:line="240" w:lineRule="auto"/>
              <w:jc w:val="right"/>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111E255D"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4C8C25CB"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 xml:space="preserve">Long-term debt </w:t>
            </w:r>
          </w:p>
        </w:tc>
        <w:tc>
          <w:tcPr>
            <w:tcW w:w="1300" w:type="dxa"/>
            <w:tcBorders>
              <w:top w:val="nil"/>
              <w:left w:val="nil"/>
              <w:bottom w:val="nil"/>
              <w:right w:val="nil"/>
            </w:tcBorders>
            <w:shd w:val="clear" w:color="auto" w:fill="auto"/>
            <w:vAlign w:val="center"/>
            <w:hideMark/>
          </w:tcPr>
          <w:p w14:paraId="3792C1C0"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$103,006</w:t>
            </w:r>
          </w:p>
        </w:tc>
      </w:tr>
      <w:tr w:rsidR="00674D55" w:rsidRPr="00674D55" w14:paraId="30711741" w14:textId="77777777" w:rsidTr="00674D55">
        <w:trPr>
          <w:trHeight w:val="500"/>
        </w:trPr>
        <w:tc>
          <w:tcPr>
            <w:tcW w:w="1300" w:type="dxa"/>
            <w:tcBorders>
              <w:top w:val="nil"/>
              <w:left w:val="nil"/>
              <w:bottom w:val="nil"/>
              <w:right w:val="nil"/>
            </w:tcBorders>
            <w:shd w:val="clear" w:color="auto" w:fill="auto"/>
            <w:vAlign w:val="center"/>
            <w:hideMark/>
          </w:tcPr>
          <w:p w14:paraId="1FB8485C"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 xml:space="preserve">Net fixed assets </w:t>
            </w:r>
          </w:p>
        </w:tc>
        <w:tc>
          <w:tcPr>
            <w:tcW w:w="1300" w:type="dxa"/>
            <w:tcBorders>
              <w:top w:val="nil"/>
              <w:left w:val="nil"/>
              <w:bottom w:val="single" w:sz="8" w:space="0" w:color="auto"/>
              <w:right w:val="nil"/>
            </w:tcBorders>
            <w:shd w:val="clear" w:color="auto" w:fill="auto"/>
            <w:vAlign w:val="center"/>
            <w:hideMark/>
          </w:tcPr>
          <w:p w14:paraId="7BBCAABD"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$204,068</w:t>
            </w:r>
          </w:p>
        </w:tc>
        <w:tc>
          <w:tcPr>
            <w:tcW w:w="1300" w:type="dxa"/>
            <w:tcBorders>
              <w:top w:val="nil"/>
              <w:left w:val="nil"/>
              <w:bottom w:val="nil"/>
              <w:right w:val="nil"/>
            </w:tcBorders>
            <w:shd w:val="clear" w:color="auto" w:fill="auto"/>
            <w:vAlign w:val="center"/>
            <w:hideMark/>
          </w:tcPr>
          <w:p w14:paraId="0FEF1324"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61BE16EE"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Owners' equity</w:t>
            </w:r>
          </w:p>
        </w:tc>
        <w:tc>
          <w:tcPr>
            <w:tcW w:w="1300" w:type="dxa"/>
            <w:tcBorders>
              <w:top w:val="nil"/>
              <w:left w:val="nil"/>
              <w:bottom w:val="single" w:sz="8" w:space="0" w:color="auto"/>
              <w:right w:val="nil"/>
            </w:tcBorders>
            <w:shd w:val="clear" w:color="auto" w:fill="auto"/>
            <w:vAlign w:val="center"/>
            <w:hideMark/>
          </w:tcPr>
          <w:p w14:paraId="548293E8"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112,881</w:t>
            </w:r>
          </w:p>
        </w:tc>
      </w:tr>
      <w:tr w:rsidR="00674D55" w:rsidRPr="00674D55" w14:paraId="635117BE" w14:textId="77777777" w:rsidTr="00674D55">
        <w:trPr>
          <w:trHeight w:val="500"/>
        </w:trPr>
        <w:tc>
          <w:tcPr>
            <w:tcW w:w="1300" w:type="dxa"/>
            <w:tcBorders>
              <w:top w:val="nil"/>
              <w:left w:val="nil"/>
              <w:bottom w:val="nil"/>
              <w:right w:val="nil"/>
            </w:tcBorders>
            <w:shd w:val="clear" w:color="auto" w:fill="auto"/>
            <w:vAlign w:val="center"/>
            <w:hideMark/>
          </w:tcPr>
          <w:p w14:paraId="7D95E8A2"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Total assets</w:t>
            </w:r>
          </w:p>
        </w:tc>
        <w:tc>
          <w:tcPr>
            <w:tcW w:w="1300" w:type="dxa"/>
            <w:tcBorders>
              <w:top w:val="nil"/>
              <w:left w:val="nil"/>
              <w:bottom w:val="double" w:sz="6" w:space="0" w:color="auto"/>
              <w:right w:val="nil"/>
            </w:tcBorders>
            <w:shd w:val="clear" w:color="auto" w:fill="auto"/>
            <w:vAlign w:val="center"/>
            <w:hideMark/>
          </w:tcPr>
          <w:p w14:paraId="7B0A8EC0"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$276,719</w:t>
            </w:r>
          </w:p>
        </w:tc>
        <w:tc>
          <w:tcPr>
            <w:tcW w:w="1300" w:type="dxa"/>
            <w:tcBorders>
              <w:top w:val="nil"/>
              <w:left w:val="nil"/>
              <w:bottom w:val="nil"/>
              <w:right w:val="nil"/>
            </w:tcBorders>
            <w:shd w:val="clear" w:color="auto" w:fill="auto"/>
            <w:vAlign w:val="center"/>
            <w:hideMark/>
          </w:tcPr>
          <w:p w14:paraId="5F135E59" w14:textId="77777777" w:rsidR="00674D55" w:rsidRPr="00674D55" w:rsidRDefault="00674D55" w:rsidP="00674D5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05176D41" w14:textId="77777777" w:rsidR="00674D55" w:rsidRPr="00674D55" w:rsidRDefault="00674D55" w:rsidP="00674D55">
            <w:pPr>
              <w:spacing w:after="0" w:line="240" w:lineRule="auto"/>
              <w:rPr>
                <w:rFonts w:ascii="Times New Roman" w:eastAsia="Times New Roman" w:hAnsi="Times New Roman"/>
                <w:color w:val="000000"/>
                <w:lang w:val="en-CA"/>
              </w:rPr>
            </w:pPr>
            <w:r w:rsidRPr="00674D55">
              <w:rPr>
                <w:rFonts w:ascii="Times New Roman" w:eastAsia="Times New Roman" w:hAnsi="Times New Roman"/>
                <w:color w:val="000000"/>
                <w:lang w:val="en-CA"/>
              </w:rPr>
              <w:t xml:space="preserve">Total </w:t>
            </w:r>
            <w:proofErr w:type="spellStart"/>
            <w:r w:rsidRPr="00674D55">
              <w:rPr>
                <w:rFonts w:ascii="Times New Roman" w:eastAsia="Times New Roman" w:hAnsi="Times New Roman"/>
                <w:color w:val="000000"/>
                <w:lang w:val="en-CA"/>
              </w:rPr>
              <w:t>liab</w:t>
            </w:r>
            <w:proofErr w:type="spellEnd"/>
            <w:r w:rsidRPr="00674D55">
              <w:rPr>
                <w:rFonts w:ascii="Times New Roman" w:eastAsia="Times New Roman" w:hAnsi="Times New Roman"/>
                <w:color w:val="000000"/>
                <w:lang w:val="en-CA"/>
              </w:rPr>
              <w:t>. &amp; equity</w:t>
            </w:r>
          </w:p>
        </w:tc>
        <w:tc>
          <w:tcPr>
            <w:tcW w:w="1300" w:type="dxa"/>
            <w:tcBorders>
              <w:top w:val="nil"/>
              <w:left w:val="nil"/>
              <w:bottom w:val="double" w:sz="6" w:space="0" w:color="auto"/>
              <w:right w:val="nil"/>
            </w:tcBorders>
            <w:shd w:val="clear" w:color="auto" w:fill="auto"/>
            <w:vAlign w:val="center"/>
            <w:hideMark/>
          </w:tcPr>
          <w:p w14:paraId="6EC6FFD2" w14:textId="77777777" w:rsidR="00674D55" w:rsidRPr="00674D55" w:rsidRDefault="00674D55" w:rsidP="00674D55">
            <w:pPr>
              <w:spacing w:after="0" w:line="240" w:lineRule="auto"/>
              <w:jc w:val="right"/>
              <w:rPr>
                <w:rFonts w:ascii="Times New Roman" w:eastAsia="Times New Roman" w:hAnsi="Times New Roman"/>
                <w:color w:val="000000"/>
                <w:lang w:val="en-CA"/>
              </w:rPr>
            </w:pPr>
            <w:r w:rsidRPr="00674D55">
              <w:rPr>
                <w:rFonts w:ascii="Times New Roman" w:eastAsia="Times New Roman" w:hAnsi="Times New Roman"/>
                <w:color w:val="000000"/>
                <w:lang w:val="en-CA"/>
              </w:rPr>
              <w:t>$276,719</w:t>
            </w:r>
          </w:p>
        </w:tc>
      </w:tr>
    </w:tbl>
    <w:p w14:paraId="2873DC10" w14:textId="77777777" w:rsidR="00674D55" w:rsidRPr="00A64C8C" w:rsidRDefault="00674D55" w:rsidP="00934397">
      <w:pPr>
        <w:autoSpaceDE w:val="0"/>
        <w:autoSpaceDN w:val="0"/>
        <w:adjustRightInd w:val="0"/>
        <w:spacing w:after="0" w:line="240" w:lineRule="auto"/>
        <w:rPr>
          <w:rFonts w:ascii="Times New Roman" w:hAnsi="Times New Roman"/>
        </w:rPr>
      </w:pPr>
    </w:p>
    <w:p w14:paraId="445BAEE9" w14:textId="77777777" w:rsidR="003D111D" w:rsidRPr="00A64C8C" w:rsidRDefault="003D111D" w:rsidP="00AD0406">
      <w:pPr>
        <w:autoSpaceDE w:val="0"/>
        <w:autoSpaceDN w:val="0"/>
        <w:adjustRightInd w:val="0"/>
        <w:spacing w:after="0" w:line="240" w:lineRule="auto"/>
        <w:ind w:left="360"/>
        <w:rPr>
          <w:rFonts w:ascii="Times New Roman" w:hAnsi="Times New Roman"/>
        </w:rPr>
      </w:pPr>
      <w:r w:rsidRPr="00A64C8C">
        <w:rPr>
          <w:rFonts w:ascii="Times New Roman" w:hAnsi="Times New Roman"/>
        </w:rPr>
        <w:t>In the first year, equity is not given. Therefore, we must calculate equity as a plug variable. Since total</w:t>
      </w:r>
      <w:r>
        <w:rPr>
          <w:rFonts w:ascii="Times New Roman" w:hAnsi="Times New Roman"/>
        </w:rPr>
        <w:t xml:space="preserve"> </w:t>
      </w:r>
      <w:r w:rsidRPr="00A64C8C">
        <w:rPr>
          <w:rFonts w:ascii="Times New Roman" w:hAnsi="Times New Roman"/>
        </w:rPr>
        <w:t>liabilities &amp; equity is equal to total assets, equity can be calculated as:</w:t>
      </w:r>
    </w:p>
    <w:p w14:paraId="0C520A39" w14:textId="77777777" w:rsidR="003D111D" w:rsidRPr="00A64C8C" w:rsidRDefault="003D111D" w:rsidP="007D59AC">
      <w:pPr>
        <w:autoSpaceDE w:val="0"/>
        <w:autoSpaceDN w:val="0"/>
        <w:adjustRightInd w:val="0"/>
        <w:spacing w:after="0" w:line="240" w:lineRule="auto"/>
        <w:rPr>
          <w:rFonts w:ascii="Times New Roman" w:hAnsi="Times New Roman"/>
        </w:rPr>
      </w:pPr>
    </w:p>
    <w:p w14:paraId="425EF490" w14:textId="5C5965B8" w:rsidR="003D111D" w:rsidRDefault="003D111D" w:rsidP="00E37053">
      <w:pPr>
        <w:autoSpaceDE w:val="0"/>
        <w:autoSpaceDN w:val="0"/>
        <w:adjustRightInd w:val="0"/>
        <w:spacing w:after="0" w:line="240" w:lineRule="auto"/>
        <w:ind w:left="360"/>
        <w:rPr>
          <w:rFonts w:ascii="Times New Roman" w:hAnsi="Times New Roman"/>
        </w:rPr>
      </w:pPr>
      <w:r w:rsidRPr="00A64C8C">
        <w:rPr>
          <w:rFonts w:ascii="Times New Roman" w:hAnsi="Times New Roman"/>
        </w:rPr>
        <w:t>Equity = $</w:t>
      </w:r>
      <w:r w:rsidR="00740E3D">
        <w:rPr>
          <w:rFonts w:ascii="Times New Roman" w:hAnsi="Times New Roman"/>
        </w:rPr>
        <w:t>276,719 – 60,832 – 103,006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FD91992" w14:textId="6CA03D60" w:rsidR="003D111D" w:rsidRDefault="003D111D" w:rsidP="00E37053">
      <w:pPr>
        <w:autoSpaceDE w:val="0"/>
        <w:autoSpaceDN w:val="0"/>
        <w:adjustRightInd w:val="0"/>
        <w:spacing w:after="0" w:line="240" w:lineRule="auto"/>
        <w:ind w:left="360"/>
        <w:rPr>
          <w:rFonts w:ascii="Times New Roman" w:hAnsi="Times New Roman"/>
        </w:rPr>
      </w:pPr>
      <w:r>
        <w:rPr>
          <w:rFonts w:ascii="Times New Roman" w:hAnsi="Times New Roman"/>
        </w:rPr>
        <w:t>Equi</w:t>
      </w:r>
      <w:r w:rsidRPr="00A64C8C">
        <w:rPr>
          <w:rFonts w:ascii="Times New Roman" w:hAnsi="Times New Roman"/>
        </w:rPr>
        <w:t>ty = $</w:t>
      </w:r>
      <w:r w:rsidR="00740E3D">
        <w:rPr>
          <w:rFonts w:ascii="Times New Roman" w:hAnsi="Times New Roman"/>
        </w:rPr>
        <w:t>112,881</w:t>
      </w:r>
    </w:p>
    <w:p w14:paraId="56B6C709" w14:textId="77777777" w:rsidR="00CC55BF" w:rsidRDefault="00CC55BF" w:rsidP="00E37053">
      <w:pPr>
        <w:autoSpaceDE w:val="0"/>
        <w:autoSpaceDN w:val="0"/>
        <w:adjustRightInd w:val="0"/>
        <w:spacing w:after="0" w:line="240" w:lineRule="auto"/>
        <w:ind w:left="360"/>
        <w:rPr>
          <w:rFonts w:ascii="Times New Roman" w:hAnsi="Times New Roman"/>
        </w:rPr>
      </w:pPr>
    </w:p>
    <w:p w14:paraId="3CFE8BAC" w14:textId="77777777" w:rsidR="00CC55BF" w:rsidRDefault="00CC55BF" w:rsidP="00E37053">
      <w:pPr>
        <w:autoSpaceDE w:val="0"/>
        <w:autoSpaceDN w:val="0"/>
        <w:adjustRightInd w:val="0"/>
        <w:spacing w:after="0" w:line="240" w:lineRule="auto"/>
        <w:ind w:left="360"/>
        <w:rPr>
          <w:rFonts w:ascii="Times New Roman" w:hAnsi="Times New Roman"/>
        </w:rPr>
      </w:pPr>
    </w:p>
    <w:p w14:paraId="2D253B1B" w14:textId="77B90C6B" w:rsidR="00CF2290" w:rsidRPr="00106572" w:rsidRDefault="00CF2290" w:rsidP="00CF2290">
      <w:pPr>
        <w:autoSpaceDE w:val="0"/>
        <w:autoSpaceDN w:val="0"/>
        <w:adjustRightInd w:val="0"/>
        <w:spacing w:after="0" w:line="240" w:lineRule="auto"/>
        <w:rPr>
          <w:rFonts w:ascii="Times New Roman" w:hAnsi="Times New Roman"/>
          <w:i/>
        </w:rPr>
      </w:pPr>
      <w:r w:rsidRPr="00106572">
        <w:rPr>
          <w:rFonts w:ascii="Times New Roman" w:hAnsi="Times New Roman"/>
          <w:i/>
        </w:rPr>
        <w:t>Balan</w:t>
      </w:r>
      <w:r>
        <w:rPr>
          <w:rFonts w:ascii="Times New Roman" w:hAnsi="Times New Roman"/>
          <w:i/>
        </w:rPr>
        <w:t>ce Sheet as of December 31, 201</w:t>
      </w:r>
      <w:r w:rsidR="00CF0789">
        <w:rPr>
          <w:rFonts w:ascii="Times New Roman" w:hAnsi="Times New Roman"/>
          <w:i/>
        </w:rPr>
        <w:t>8</w:t>
      </w:r>
    </w:p>
    <w:tbl>
      <w:tblPr>
        <w:tblW w:w="6500" w:type="dxa"/>
        <w:tblInd w:w="93" w:type="dxa"/>
        <w:tblLook w:val="04A0" w:firstRow="1" w:lastRow="0" w:firstColumn="1" w:lastColumn="0" w:noHBand="0" w:noVBand="1"/>
      </w:tblPr>
      <w:tblGrid>
        <w:gridCol w:w="1300"/>
        <w:gridCol w:w="1300"/>
        <w:gridCol w:w="1300"/>
        <w:gridCol w:w="1300"/>
        <w:gridCol w:w="1300"/>
      </w:tblGrid>
      <w:tr w:rsidR="00AE2C75" w:rsidRPr="00AE2C75" w14:paraId="30388AFB" w14:textId="77777777" w:rsidTr="00AE2C75">
        <w:trPr>
          <w:trHeight w:val="320"/>
        </w:trPr>
        <w:tc>
          <w:tcPr>
            <w:tcW w:w="6500" w:type="dxa"/>
            <w:gridSpan w:val="5"/>
            <w:tcBorders>
              <w:top w:val="nil"/>
              <w:left w:val="nil"/>
              <w:bottom w:val="single" w:sz="8" w:space="0" w:color="000000"/>
              <w:right w:val="nil"/>
            </w:tcBorders>
            <w:shd w:val="clear" w:color="auto" w:fill="auto"/>
            <w:vAlign w:val="center"/>
            <w:hideMark/>
          </w:tcPr>
          <w:p w14:paraId="3B43B9B8" w14:textId="5394789E" w:rsidR="00AE2C75" w:rsidRPr="00AE2C75" w:rsidRDefault="00AE2C75" w:rsidP="00AE2C75">
            <w:pPr>
              <w:spacing w:after="0" w:line="240" w:lineRule="auto"/>
              <w:jc w:val="center"/>
              <w:rPr>
                <w:rFonts w:ascii="Times New Roman" w:eastAsia="Times New Roman" w:hAnsi="Times New Roman"/>
                <w:i/>
                <w:iCs/>
                <w:color w:val="000000"/>
                <w:lang w:val="en-CA"/>
              </w:rPr>
            </w:pPr>
            <w:r w:rsidRPr="00AE2C75">
              <w:rPr>
                <w:rFonts w:ascii="Times New Roman" w:eastAsia="Times New Roman" w:hAnsi="Times New Roman"/>
                <w:i/>
                <w:iCs/>
                <w:color w:val="000000"/>
                <w:lang w:val="en-CA"/>
              </w:rPr>
              <w:t>Balance sheet as of Dec. 31, 201</w:t>
            </w:r>
            <w:r w:rsidR="00CF0789">
              <w:rPr>
                <w:rFonts w:ascii="Times New Roman" w:eastAsia="Times New Roman" w:hAnsi="Times New Roman"/>
                <w:i/>
                <w:iCs/>
                <w:color w:val="000000"/>
                <w:lang w:val="en-CA"/>
              </w:rPr>
              <w:t>8</w:t>
            </w:r>
          </w:p>
        </w:tc>
      </w:tr>
      <w:tr w:rsidR="00AE2C75" w:rsidRPr="00AE2C75" w14:paraId="2B149389" w14:textId="77777777" w:rsidTr="00AE2C75">
        <w:trPr>
          <w:trHeight w:val="480"/>
        </w:trPr>
        <w:tc>
          <w:tcPr>
            <w:tcW w:w="1300" w:type="dxa"/>
            <w:tcBorders>
              <w:top w:val="nil"/>
              <w:left w:val="nil"/>
              <w:bottom w:val="nil"/>
              <w:right w:val="nil"/>
            </w:tcBorders>
            <w:shd w:val="clear" w:color="auto" w:fill="auto"/>
            <w:vAlign w:val="center"/>
            <w:hideMark/>
          </w:tcPr>
          <w:p w14:paraId="04388F70"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 xml:space="preserve">Cash </w:t>
            </w:r>
          </w:p>
        </w:tc>
        <w:tc>
          <w:tcPr>
            <w:tcW w:w="1300" w:type="dxa"/>
            <w:tcBorders>
              <w:top w:val="nil"/>
              <w:left w:val="nil"/>
              <w:bottom w:val="nil"/>
              <w:right w:val="nil"/>
            </w:tcBorders>
            <w:shd w:val="clear" w:color="auto" w:fill="auto"/>
            <w:vAlign w:val="center"/>
            <w:hideMark/>
          </w:tcPr>
          <w:p w14:paraId="08E35D69"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$35,721</w:t>
            </w:r>
          </w:p>
        </w:tc>
        <w:tc>
          <w:tcPr>
            <w:tcW w:w="1300" w:type="dxa"/>
            <w:tcBorders>
              <w:top w:val="nil"/>
              <w:left w:val="nil"/>
              <w:bottom w:val="nil"/>
              <w:right w:val="nil"/>
            </w:tcBorders>
            <w:shd w:val="clear" w:color="auto" w:fill="auto"/>
            <w:vAlign w:val="center"/>
            <w:hideMark/>
          </w:tcPr>
          <w:p w14:paraId="15832E95"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649ECEC3"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Accounts payable</w:t>
            </w:r>
          </w:p>
        </w:tc>
        <w:tc>
          <w:tcPr>
            <w:tcW w:w="1300" w:type="dxa"/>
            <w:tcBorders>
              <w:top w:val="nil"/>
              <w:left w:val="nil"/>
              <w:bottom w:val="nil"/>
              <w:right w:val="nil"/>
            </w:tcBorders>
            <w:shd w:val="clear" w:color="auto" w:fill="auto"/>
            <w:vAlign w:val="center"/>
            <w:hideMark/>
          </w:tcPr>
          <w:p w14:paraId="3B6EF75E"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$47,325</w:t>
            </w:r>
          </w:p>
        </w:tc>
      </w:tr>
      <w:tr w:rsidR="00AE2C75" w:rsidRPr="00AE2C75" w14:paraId="20D75A9C" w14:textId="77777777" w:rsidTr="00AE2C75">
        <w:trPr>
          <w:trHeight w:val="500"/>
        </w:trPr>
        <w:tc>
          <w:tcPr>
            <w:tcW w:w="1300" w:type="dxa"/>
            <w:tcBorders>
              <w:top w:val="nil"/>
              <w:left w:val="nil"/>
              <w:bottom w:val="nil"/>
              <w:right w:val="nil"/>
            </w:tcBorders>
            <w:shd w:val="clear" w:color="auto" w:fill="auto"/>
            <w:vAlign w:val="center"/>
            <w:hideMark/>
          </w:tcPr>
          <w:p w14:paraId="4F6CC60F"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 xml:space="preserve">Accounts receivable </w:t>
            </w:r>
          </w:p>
        </w:tc>
        <w:tc>
          <w:tcPr>
            <w:tcW w:w="1300" w:type="dxa"/>
            <w:tcBorders>
              <w:top w:val="nil"/>
              <w:left w:val="nil"/>
              <w:bottom w:val="nil"/>
              <w:right w:val="nil"/>
            </w:tcBorders>
            <w:shd w:val="clear" w:color="auto" w:fill="auto"/>
            <w:vAlign w:val="center"/>
            <w:hideMark/>
          </w:tcPr>
          <w:p w14:paraId="1AF71EBE"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21,732</w:t>
            </w:r>
          </w:p>
        </w:tc>
        <w:tc>
          <w:tcPr>
            <w:tcW w:w="1300" w:type="dxa"/>
            <w:tcBorders>
              <w:top w:val="nil"/>
              <w:left w:val="nil"/>
              <w:bottom w:val="nil"/>
              <w:right w:val="nil"/>
            </w:tcBorders>
            <w:shd w:val="clear" w:color="auto" w:fill="auto"/>
            <w:vAlign w:val="center"/>
            <w:hideMark/>
          </w:tcPr>
          <w:p w14:paraId="15632B14"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18785FC1"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Notes payable</w:t>
            </w:r>
          </w:p>
        </w:tc>
        <w:tc>
          <w:tcPr>
            <w:tcW w:w="1300" w:type="dxa"/>
            <w:tcBorders>
              <w:top w:val="nil"/>
              <w:left w:val="nil"/>
              <w:bottom w:val="single" w:sz="8" w:space="0" w:color="auto"/>
              <w:right w:val="nil"/>
            </w:tcBorders>
            <w:shd w:val="clear" w:color="auto" w:fill="auto"/>
            <w:vAlign w:val="center"/>
            <w:hideMark/>
          </w:tcPr>
          <w:p w14:paraId="5CFE3F83"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20,796</w:t>
            </w:r>
          </w:p>
        </w:tc>
      </w:tr>
      <w:tr w:rsidR="00AE2C75" w:rsidRPr="00AE2C75" w14:paraId="77ADA261" w14:textId="77777777" w:rsidTr="00AE2C75">
        <w:trPr>
          <w:trHeight w:val="740"/>
        </w:trPr>
        <w:tc>
          <w:tcPr>
            <w:tcW w:w="1300" w:type="dxa"/>
            <w:tcBorders>
              <w:top w:val="nil"/>
              <w:left w:val="nil"/>
              <w:bottom w:val="nil"/>
              <w:right w:val="nil"/>
            </w:tcBorders>
            <w:shd w:val="clear" w:color="auto" w:fill="auto"/>
            <w:vAlign w:val="center"/>
            <w:hideMark/>
          </w:tcPr>
          <w:p w14:paraId="00BBDA3C"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 xml:space="preserve">Inventory </w:t>
            </w:r>
          </w:p>
        </w:tc>
        <w:tc>
          <w:tcPr>
            <w:tcW w:w="1300" w:type="dxa"/>
            <w:tcBorders>
              <w:top w:val="nil"/>
              <w:left w:val="nil"/>
              <w:bottom w:val="single" w:sz="8" w:space="0" w:color="auto"/>
              <w:right w:val="nil"/>
            </w:tcBorders>
            <w:shd w:val="clear" w:color="auto" w:fill="auto"/>
            <w:vAlign w:val="center"/>
            <w:hideMark/>
          </w:tcPr>
          <w:p w14:paraId="41AFCED1"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43,381</w:t>
            </w:r>
          </w:p>
        </w:tc>
        <w:tc>
          <w:tcPr>
            <w:tcW w:w="1300" w:type="dxa"/>
            <w:tcBorders>
              <w:top w:val="nil"/>
              <w:left w:val="nil"/>
              <w:bottom w:val="nil"/>
              <w:right w:val="nil"/>
            </w:tcBorders>
            <w:shd w:val="clear" w:color="auto" w:fill="auto"/>
            <w:vAlign w:val="center"/>
            <w:hideMark/>
          </w:tcPr>
          <w:p w14:paraId="109E0969"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19DBCC27"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Current liabilities</w:t>
            </w:r>
          </w:p>
        </w:tc>
        <w:tc>
          <w:tcPr>
            <w:tcW w:w="1300" w:type="dxa"/>
            <w:tcBorders>
              <w:top w:val="nil"/>
              <w:left w:val="nil"/>
              <w:bottom w:val="nil"/>
              <w:right w:val="nil"/>
            </w:tcBorders>
            <w:shd w:val="clear" w:color="auto" w:fill="auto"/>
            <w:vAlign w:val="center"/>
            <w:hideMark/>
          </w:tcPr>
          <w:p w14:paraId="2033A0D4"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$68,121</w:t>
            </w:r>
          </w:p>
        </w:tc>
      </w:tr>
      <w:tr w:rsidR="00AE2C75" w:rsidRPr="00AE2C75" w14:paraId="0D180FAE" w14:textId="77777777" w:rsidTr="00AE2C75">
        <w:trPr>
          <w:trHeight w:val="300"/>
        </w:trPr>
        <w:tc>
          <w:tcPr>
            <w:tcW w:w="1300" w:type="dxa"/>
            <w:vMerge w:val="restart"/>
            <w:tcBorders>
              <w:top w:val="nil"/>
              <w:left w:val="nil"/>
              <w:bottom w:val="nil"/>
              <w:right w:val="nil"/>
            </w:tcBorders>
            <w:shd w:val="clear" w:color="auto" w:fill="auto"/>
            <w:vAlign w:val="center"/>
            <w:hideMark/>
          </w:tcPr>
          <w:p w14:paraId="5B3B5A5F"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 xml:space="preserve">Current assets </w:t>
            </w:r>
          </w:p>
        </w:tc>
        <w:tc>
          <w:tcPr>
            <w:tcW w:w="1300" w:type="dxa"/>
            <w:vMerge w:val="restart"/>
            <w:tcBorders>
              <w:top w:val="nil"/>
              <w:left w:val="nil"/>
              <w:bottom w:val="nil"/>
              <w:right w:val="nil"/>
            </w:tcBorders>
            <w:shd w:val="clear" w:color="auto" w:fill="auto"/>
            <w:vAlign w:val="center"/>
            <w:hideMark/>
          </w:tcPr>
          <w:p w14:paraId="0F06E786"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$100,834</w:t>
            </w:r>
          </w:p>
        </w:tc>
        <w:tc>
          <w:tcPr>
            <w:tcW w:w="1300" w:type="dxa"/>
            <w:vMerge w:val="restart"/>
            <w:tcBorders>
              <w:top w:val="nil"/>
              <w:left w:val="nil"/>
              <w:bottom w:val="nil"/>
              <w:right w:val="nil"/>
            </w:tcBorders>
            <w:shd w:val="clear" w:color="auto" w:fill="auto"/>
            <w:vAlign w:val="center"/>
            <w:hideMark/>
          </w:tcPr>
          <w:p w14:paraId="16ECC092"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vMerge w:val="restart"/>
            <w:tcBorders>
              <w:top w:val="nil"/>
              <w:left w:val="nil"/>
              <w:bottom w:val="nil"/>
              <w:right w:val="nil"/>
            </w:tcBorders>
            <w:shd w:val="clear" w:color="auto" w:fill="auto"/>
            <w:vAlign w:val="center"/>
            <w:hideMark/>
          </w:tcPr>
          <w:p w14:paraId="13A4600F"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vMerge w:val="restart"/>
            <w:tcBorders>
              <w:top w:val="nil"/>
              <w:left w:val="nil"/>
              <w:bottom w:val="nil"/>
              <w:right w:val="nil"/>
            </w:tcBorders>
            <w:shd w:val="clear" w:color="auto" w:fill="auto"/>
            <w:vAlign w:val="center"/>
            <w:hideMark/>
          </w:tcPr>
          <w:p w14:paraId="2405C9B6" w14:textId="77777777" w:rsidR="00AE2C75" w:rsidRPr="00AE2C75" w:rsidRDefault="00AE2C75" w:rsidP="00AE2C75">
            <w:pPr>
              <w:spacing w:after="0" w:line="240" w:lineRule="auto"/>
              <w:jc w:val="right"/>
              <w:rPr>
                <w:rFonts w:ascii="Times New Roman" w:eastAsia="Times New Roman" w:hAnsi="Times New Roman"/>
                <w:color w:val="000000"/>
                <w:lang w:val="en-CA"/>
              </w:rPr>
            </w:pPr>
          </w:p>
        </w:tc>
      </w:tr>
      <w:tr w:rsidR="00AE2C75" w:rsidRPr="00AE2C75" w14:paraId="670C4266" w14:textId="77777777" w:rsidTr="00AE2C75">
        <w:trPr>
          <w:trHeight w:val="300"/>
        </w:trPr>
        <w:tc>
          <w:tcPr>
            <w:tcW w:w="1300" w:type="dxa"/>
            <w:vMerge/>
            <w:tcBorders>
              <w:top w:val="nil"/>
              <w:left w:val="nil"/>
              <w:bottom w:val="nil"/>
              <w:right w:val="nil"/>
            </w:tcBorders>
            <w:vAlign w:val="center"/>
            <w:hideMark/>
          </w:tcPr>
          <w:p w14:paraId="6F1E4167"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vMerge/>
            <w:tcBorders>
              <w:top w:val="nil"/>
              <w:left w:val="nil"/>
              <w:bottom w:val="nil"/>
              <w:right w:val="nil"/>
            </w:tcBorders>
            <w:vAlign w:val="center"/>
            <w:hideMark/>
          </w:tcPr>
          <w:p w14:paraId="76BFF949"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vMerge/>
            <w:tcBorders>
              <w:top w:val="nil"/>
              <w:left w:val="nil"/>
              <w:bottom w:val="nil"/>
              <w:right w:val="nil"/>
            </w:tcBorders>
            <w:vAlign w:val="center"/>
            <w:hideMark/>
          </w:tcPr>
          <w:p w14:paraId="3DCB62E0"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vMerge/>
            <w:tcBorders>
              <w:top w:val="nil"/>
              <w:left w:val="nil"/>
              <w:bottom w:val="nil"/>
              <w:right w:val="nil"/>
            </w:tcBorders>
            <w:vAlign w:val="center"/>
            <w:hideMark/>
          </w:tcPr>
          <w:p w14:paraId="3E9D00DE"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vMerge/>
            <w:tcBorders>
              <w:top w:val="nil"/>
              <w:left w:val="nil"/>
              <w:bottom w:val="nil"/>
              <w:right w:val="nil"/>
            </w:tcBorders>
            <w:vAlign w:val="center"/>
            <w:hideMark/>
          </w:tcPr>
          <w:p w14:paraId="28372828" w14:textId="77777777" w:rsidR="00AE2C75" w:rsidRPr="00AE2C75" w:rsidRDefault="00AE2C75" w:rsidP="00AE2C75">
            <w:pPr>
              <w:spacing w:after="0" w:line="240" w:lineRule="auto"/>
              <w:rPr>
                <w:rFonts w:ascii="Times New Roman" w:eastAsia="Times New Roman" w:hAnsi="Times New Roman"/>
                <w:color w:val="000000"/>
                <w:lang w:val="en-CA"/>
              </w:rPr>
            </w:pPr>
          </w:p>
        </w:tc>
      </w:tr>
      <w:tr w:rsidR="00AE2C75" w:rsidRPr="00AE2C75" w14:paraId="3F4463BE" w14:textId="77777777" w:rsidTr="00AE2C75">
        <w:trPr>
          <w:trHeight w:val="480"/>
        </w:trPr>
        <w:tc>
          <w:tcPr>
            <w:tcW w:w="1300" w:type="dxa"/>
            <w:tcBorders>
              <w:top w:val="nil"/>
              <w:left w:val="nil"/>
              <w:bottom w:val="nil"/>
              <w:right w:val="nil"/>
            </w:tcBorders>
            <w:shd w:val="clear" w:color="auto" w:fill="auto"/>
            <w:vAlign w:val="center"/>
            <w:hideMark/>
          </w:tcPr>
          <w:p w14:paraId="5C5C21EA"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558DE633" w14:textId="77777777" w:rsidR="00AE2C75" w:rsidRPr="00AE2C75" w:rsidRDefault="00AE2C75" w:rsidP="00AE2C75">
            <w:pPr>
              <w:spacing w:after="0" w:line="240" w:lineRule="auto"/>
              <w:jc w:val="right"/>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3FC50459"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0444B1AA"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 xml:space="preserve">Long-term debt </w:t>
            </w:r>
          </w:p>
        </w:tc>
        <w:tc>
          <w:tcPr>
            <w:tcW w:w="1300" w:type="dxa"/>
            <w:tcBorders>
              <w:top w:val="nil"/>
              <w:left w:val="nil"/>
              <w:bottom w:val="nil"/>
              <w:right w:val="nil"/>
            </w:tcBorders>
            <w:shd w:val="clear" w:color="auto" w:fill="auto"/>
            <w:vAlign w:val="center"/>
            <w:hideMark/>
          </w:tcPr>
          <w:p w14:paraId="5A606660"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$116,334</w:t>
            </w:r>
          </w:p>
        </w:tc>
      </w:tr>
      <w:tr w:rsidR="00AE2C75" w:rsidRPr="00AE2C75" w14:paraId="1058B7B5" w14:textId="77777777" w:rsidTr="00AE2C75">
        <w:trPr>
          <w:trHeight w:val="500"/>
        </w:trPr>
        <w:tc>
          <w:tcPr>
            <w:tcW w:w="1300" w:type="dxa"/>
            <w:tcBorders>
              <w:top w:val="nil"/>
              <w:left w:val="nil"/>
              <w:bottom w:val="nil"/>
              <w:right w:val="nil"/>
            </w:tcBorders>
            <w:shd w:val="clear" w:color="auto" w:fill="auto"/>
            <w:vAlign w:val="center"/>
            <w:hideMark/>
          </w:tcPr>
          <w:p w14:paraId="3DB334F5"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 xml:space="preserve">Net fixed assets </w:t>
            </w:r>
          </w:p>
        </w:tc>
        <w:tc>
          <w:tcPr>
            <w:tcW w:w="1300" w:type="dxa"/>
            <w:tcBorders>
              <w:top w:val="nil"/>
              <w:left w:val="nil"/>
              <w:bottom w:val="single" w:sz="8" w:space="0" w:color="auto"/>
              <w:right w:val="nil"/>
            </w:tcBorders>
            <w:shd w:val="clear" w:color="auto" w:fill="auto"/>
            <w:vAlign w:val="center"/>
            <w:hideMark/>
          </w:tcPr>
          <w:p w14:paraId="1F03790B"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$248,625</w:t>
            </w:r>
          </w:p>
        </w:tc>
        <w:tc>
          <w:tcPr>
            <w:tcW w:w="1300" w:type="dxa"/>
            <w:tcBorders>
              <w:top w:val="nil"/>
              <w:left w:val="nil"/>
              <w:bottom w:val="nil"/>
              <w:right w:val="nil"/>
            </w:tcBorders>
            <w:shd w:val="clear" w:color="auto" w:fill="auto"/>
            <w:vAlign w:val="center"/>
            <w:hideMark/>
          </w:tcPr>
          <w:p w14:paraId="63474CE6"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415DEC58"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Owners' equity</w:t>
            </w:r>
          </w:p>
        </w:tc>
        <w:tc>
          <w:tcPr>
            <w:tcW w:w="1300" w:type="dxa"/>
            <w:tcBorders>
              <w:top w:val="nil"/>
              <w:left w:val="nil"/>
              <w:bottom w:val="single" w:sz="8" w:space="0" w:color="auto"/>
              <w:right w:val="nil"/>
            </w:tcBorders>
            <w:shd w:val="clear" w:color="auto" w:fill="auto"/>
            <w:vAlign w:val="center"/>
            <w:hideMark/>
          </w:tcPr>
          <w:p w14:paraId="4B40CF2C"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165,004</w:t>
            </w:r>
          </w:p>
        </w:tc>
      </w:tr>
      <w:tr w:rsidR="00AE2C75" w:rsidRPr="00AE2C75" w14:paraId="3872B7ED" w14:textId="77777777" w:rsidTr="00AE2C75">
        <w:trPr>
          <w:trHeight w:val="500"/>
        </w:trPr>
        <w:tc>
          <w:tcPr>
            <w:tcW w:w="1300" w:type="dxa"/>
            <w:tcBorders>
              <w:top w:val="nil"/>
              <w:left w:val="nil"/>
              <w:bottom w:val="nil"/>
              <w:right w:val="nil"/>
            </w:tcBorders>
            <w:shd w:val="clear" w:color="auto" w:fill="auto"/>
            <w:vAlign w:val="center"/>
            <w:hideMark/>
          </w:tcPr>
          <w:p w14:paraId="368C63BC"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Total assets</w:t>
            </w:r>
          </w:p>
        </w:tc>
        <w:tc>
          <w:tcPr>
            <w:tcW w:w="1300" w:type="dxa"/>
            <w:tcBorders>
              <w:top w:val="nil"/>
              <w:left w:val="nil"/>
              <w:bottom w:val="double" w:sz="6" w:space="0" w:color="auto"/>
              <w:right w:val="nil"/>
            </w:tcBorders>
            <w:shd w:val="clear" w:color="auto" w:fill="auto"/>
            <w:vAlign w:val="center"/>
            <w:hideMark/>
          </w:tcPr>
          <w:p w14:paraId="42DAF9FD"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$349,459</w:t>
            </w:r>
          </w:p>
        </w:tc>
        <w:tc>
          <w:tcPr>
            <w:tcW w:w="1300" w:type="dxa"/>
            <w:tcBorders>
              <w:top w:val="nil"/>
              <w:left w:val="nil"/>
              <w:bottom w:val="nil"/>
              <w:right w:val="nil"/>
            </w:tcBorders>
            <w:shd w:val="clear" w:color="auto" w:fill="auto"/>
            <w:vAlign w:val="center"/>
            <w:hideMark/>
          </w:tcPr>
          <w:p w14:paraId="65B53ED1" w14:textId="77777777" w:rsidR="00AE2C75" w:rsidRPr="00AE2C75" w:rsidRDefault="00AE2C75" w:rsidP="00AE2C75">
            <w:pPr>
              <w:spacing w:after="0" w:line="240" w:lineRule="auto"/>
              <w:rPr>
                <w:rFonts w:ascii="Times New Roman" w:eastAsia="Times New Roman" w:hAnsi="Times New Roman"/>
                <w:color w:val="000000"/>
                <w:lang w:val="en-CA"/>
              </w:rPr>
            </w:pPr>
          </w:p>
        </w:tc>
        <w:tc>
          <w:tcPr>
            <w:tcW w:w="1300" w:type="dxa"/>
            <w:tcBorders>
              <w:top w:val="nil"/>
              <w:left w:val="nil"/>
              <w:bottom w:val="nil"/>
              <w:right w:val="nil"/>
            </w:tcBorders>
            <w:shd w:val="clear" w:color="auto" w:fill="auto"/>
            <w:vAlign w:val="center"/>
            <w:hideMark/>
          </w:tcPr>
          <w:p w14:paraId="7537C4F2" w14:textId="77777777" w:rsidR="00AE2C75" w:rsidRPr="00AE2C75" w:rsidRDefault="00AE2C75" w:rsidP="00AE2C75">
            <w:pPr>
              <w:spacing w:after="0" w:line="240" w:lineRule="auto"/>
              <w:rPr>
                <w:rFonts w:ascii="Times New Roman" w:eastAsia="Times New Roman" w:hAnsi="Times New Roman"/>
                <w:color w:val="000000"/>
                <w:lang w:val="en-CA"/>
              </w:rPr>
            </w:pPr>
            <w:r w:rsidRPr="00AE2C75">
              <w:rPr>
                <w:rFonts w:ascii="Times New Roman" w:eastAsia="Times New Roman" w:hAnsi="Times New Roman"/>
                <w:color w:val="000000"/>
                <w:lang w:val="en-CA"/>
              </w:rPr>
              <w:t xml:space="preserve">Total </w:t>
            </w:r>
            <w:proofErr w:type="spellStart"/>
            <w:r w:rsidRPr="00AE2C75">
              <w:rPr>
                <w:rFonts w:ascii="Times New Roman" w:eastAsia="Times New Roman" w:hAnsi="Times New Roman"/>
                <w:color w:val="000000"/>
                <w:lang w:val="en-CA"/>
              </w:rPr>
              <w:t>liab</w:t>
            </w:r>
            <w:proofErr w:type="spellEnd"/>
            <w:r w:rsidRPr="00AE2C75">
              <w:rPr>
                <w:rFonts w:ascii="Times New Roman" w:eastAsia="Times New Roman" w:hAnsi="Times New Roman"/>
                <w:color w:val="000000"/>
                <w:lang w:val="en-CA"/>
              </w:rPr>
              <w:t>. &amp; equity</w:t>
            </w:r>
          </w:p>
        </w:tc>
        <w:tc>
          <w:tcPr>
            <w:tcW w:w="1300" w:type="dxa"/>
            <w:tcBorders>
              <w:top w:val="nil"/>
              <w:left w:val="nil"/>
              <w:bottom w:val="double" w:sz="6" w:space="0" w:color="auto"/>
              <w:right w:val="nil"/>
            </w:tcBorders>
            <w:shd w:val="clear" w:color="auto" w:fill="auto"/>
            <w:vAlign w:val="center"/>
            <w:hideMark/>
          </w:tcPr>
          <w:p w14:paraId="778B5CC4" w14:textId="77777777" w:rsidR="00AE2C75" w:rsidRPr="00AE2C75" w:rsidRDefault="00AE2C75" w:rsidP="00AE2C75">
            <w:pPr>
              <w:spacing w:after="0" w:line="240" w:lineRule="auto"/>
              <w:jc w:val="right"/>
              <w:rPr>
                <w:rFonts w:ascii="Times New Roman" w:eastAsia="Times New Roman" w:hAnsi="Times New Roman"/>
                <w:color w:val="000000"/>
                <w:lang w:val="en-CA"/>
              </w:rPr>
            </w:pPr>
            <w:r w:rsidRPr="00AE2C75">
              <w:rPr>
                <w:rFonts w:ascii="Times New Roman" w:eastAsia="Times New Roman" w:hAnsi="Times New Roman"/>
                <w:color w:val="000000"/>
                <w:lang w:val="en-CA"/>
              </w:rPr>
              <w:t>$349,459</w:t>
            </w:r>
          </w:p>
        </w:tc>
      </w:tr>
    </w:tbl>
    <w:p w14:paraId="643CF2E0" w14:textId="77777777" w:rsidR="00CF2290" w:rsidRDefault="00CF2290" w:rsidP="00E37053">
      <w:pPr>
        <w:autoSpaceDE w:val="0"/>
        <w:autoSpaceDN w:val="0"/>
        <w:adjustRightInd w:val="0"/>
        <w:spacing w:after="0" w:line="240" w:lineRule="auto"/>
        <w:ind w:left="360"/>
        <w:rPr>
          <w:rFonts w:ascii="Times New Roman" w:hAnsi="Times New Roman"/>
        </w:rPr>
      </w:pPr>
    </w:p>
    <w:p w14:paraId="113E573E" w14:textId="77777777" w:rsidR="00CF2290" w:rsidRDefault="00CF2290" w:rsidP="00E37053">
      <w:pPr>
        <w:autoSpaceDE w:val="0"/>
        <w:autoSpaceDN w:val="0"/>
        <w:adjustRightInd w:val="0"/>
        <w:spacing w:after="0" w:line="240" w:lineRule="auto"/>
        <w:ind w:left="360"/>
        <w:rPr>
          <w:rFonts w:ascii="Times New Roman" w:hAnsi="Times New Roman"/>
        </w:rPr>
      </w:pPr>
    </w:p>
    <w:p w14:paraId="0B32B36A" w14:textId="77777777" w:rsidR="003D111D" w:rsidRPr="00A64C8C" w:rsidRDefault="003D111D" w:rsidP="00AD0406">
      <w:pPr>
        <w:autoSpaceDE w:val="0"/>
        <w:autoSpaceDN w:val="0"/>
        <w:adjustRightInd w:val="0"/>
        <w:spacing w:after="0" w:line="240" w:lineRule="auto"/>
        <w:ind w:left="360"/>
        <w:rPr>
          <w:rFonts w:ascii="Times New Roman" w:hAnsi="Times New Roman"/>
        </w:rPr>
      </w:pPr>
    </w:p>
    <w:p w14:paraId="33199857" w14:textId="28E54972" w:rsidR="003D111D" w:rsidRPr="00A64C8C" w:rsidRDefault="003D111D" w:rsidP="00AD0406">
      <w:pPr>
        <w:autoSpaceDE w:val="0"/>
        <w:autoSpaceDN w:val="0"/>
        <w:adjustRightInd w:val="0"/>
        <w:spacing w:after="0" w:line="240" w:lineRule="auto"/>
        <w:ind w:left="360"/>
        <w:rPr>
          <w:rFonts w:ascii="Times New Roman" w:hAnsi="Times New Roman"/>
        </w:rPr>
      </w:pPr>
      <w:r w:rsidRPr="00A64C8C">
        <w:rPr>
          <w:rFonts w:ascii="Times New Roman" w:hAnsi="Times New Roman"/>
        </w:rPr>
        <w:t>The owner’s equity for 20</w:t>
      </w:r>
      <w:r>
        <w:rPr>
          <w:rFonts w:ascii="Times New Roman" w:hAnsi="Times New Roman"/>
        </w:rPr>
        <w:t>1</w:t>
      </w:r>
      <w:r w:rsidR="00CF0789">
        <w:rPr>
          <w:rFonts w:ascii="Times New Roman" w:hAnsi="Times New Roman"/>
        </w:rPr>
        <w:t>8</w:t>
      </w:r>
      <w:r w:rsidRPr="00A64C8C">
        <w:rPr>
          <w:rFonts w:ascii="Times New Roman" w:hAnsi="Times New Roman"/>
        </w:rPr>
        <w:t xml:space="preserve"> is the beginning of year owner’s equity, plus the addition to retained</w:t>
      </w:r>
      <w:r>
        <w:rPr>
          <w:rFonts w:ascii="Times New Roman" w:hAnsi="Times New Roman"/>
        </w:rPr>
        <w:t xml:space="preserve"> </w:t>
      </w:r>
      <w:r w:rsidRPr="00A64C8C">
        <w:rPr>
          <w:rFonts w:ascii="Times New Roman" w:hAnsi="Times New Roman"/>
        </w:rPr>
        <w:t>earnings, plus the new equity, so:</w:t>
      </w:r>
    </w:p>
    <w:p w14:paraId="77F6093C" w14:textId="77777777" w:rsidR="003D111D" w:rsidRPr="00A64C8C" w:rsidRDefault="003D111D" w:rsidP="007D59AC">
      <w:pPr>
        <w:autoSpaceDE w:val="0"/>
        <w:autoSpaceDN w:val="0"/>
        <w:adjustRightInd w:val="0"/>
        <w:spacing w:after="0" w:line="240" w:lineRule="auto"/>
        <w:rPr>
          <w:rFonts w:ascii="Times New Roman" w:hAnsi="Times New Roman"/>
        </w:rPr>
      </w:pPr>
    </w:p>
    <w:p w14:paraId="34CD3583" w14:textId="439AD1A5" w:rsidR="003D111D" w:rsidRPr="00A64C8C" w:rsidRDefault="003D111D" w:rsidP="00E37053">
      <w:pPr>
        <w:autoSpaceDE w:val="0"/>
        <w:autoSpaceDN w:val="0"/>
        <w:adjustRightInd w:val="0"/>
        <w:spacing w:after="0" w:line="240" w:lineRule="auto"/>
        <w:ind w:left="360"/>
        <w:rPr>
          <w:rFonts w:ascii="Times New Roman" w:hAnsi="Times New Roman"/>
        </w:rPr>
      </w:pPr>
      <w:r w:rsidRPr="00A64C8C">
        <w:rPr>
          <w:rFonts w:ascii="Times New Roman" w:hAnsi="Times New Roman"/>
        </w:rPr>
        <w:t>Equity = $</w:t>
      </w:r>
      <w:r w:rsidR="007F390F">
        <w:rPr>
          <w:rFonts w:ascii="Times New Roman" w:hAnsi="Times New Roman"/>
        </w:rPr>
        <w:t>112,881</w:t>
      </w:r>
      <w:r w:rsidRPr="00A64C8C">
        <w:rPr>
          <w:rFonts w:ascii="Times New Roman" w:hAnsi="Times New Roman"/>
        </w:rPr>
        <w:t xml:space="preserve"> + </w:t>
      </w:r>
      <w:r w:rsidR="007F390F" w:rsidRPr="008C4F6A">
        <w:rPr>
          <w:rFonts w:ascii="Times New Roman" w:eastAsia="Times New Roman" w:hAnsi="Times New Roman"/>
          <w:color w:val="000000"/>
          <w:lang w:val="en-CA"/>
        </w:rPr>
        <w:t>31,623.20</w:t>
      </w:r>
      <w:r w:rsidR="007F390F">
        <w:rPr>
          <w:rFonts w:ascii="Times New Roman" w:eastAsia="Times New Roman" w:hAnsi="Times New Roman"/>
          <w:color w:val="000000"/>
          <w:lang w:val="en-CA"/>
        </w:rPr>
        <w:t xml:space="preserve"> </w:t>
      </w:r>
      <w:r w:rsidRPr="00A64C8C">
        <w:rPr>
          <w:rFonts w:ascii="Times New Roman" w:hAnsi="Times New Roman"/>
        </w:rPr>
        <w:t xml:space="preserve">+ </w:t>
      </w:r>
      <w:r w:rsidR="007F390F">
        <w:rPr>
          <w:rFonts w:ascii="Times New Roman" w:hAnsi="Times New Roman"/>
        </w:rPr>
        <w:t>20,500</w:t>
      </w:r>
    </w:p>
    <w:p w14:paraId="3F8AC007" w14:textId="2569770B" w:rsidR="003D111D" w:rsidRPr="00A64C8C" w:rsidRDefault="003D111D" w:rsidP="00E37053">
      <w:pPr>
        <w:autoSpaceDE w:val="0"/>
        <w:autoSpaceDN w:val="0"/>
        <w:adjustRightInd w:val="0"/>
        <w:spacing w:after="0" w:line="240" w:lineRule="auto"/>
        <w:ind w:left="360"/>
        <w:rPr>
          <w:rFonts w:ascii="Times New Roman" w:hAnsi="Times New Roman"/>
        </w:rPr>
      </w:pPr>
      <w:r w:rsidRPr="00A64C8C">
        <w:rPr>
          <w:rFonts w:ascii="Times New Roman" w:hAnsi="Times New Roman"/>
        </w:rPr>
        <w:t>Equity = $</w:t>
      </w:r>
      <w:r w:rsidR="007F390F">
        <w:rPr>
          <w:rFonts w:ascii="Times New Roman" w:hAnsi="Times New Roman"/>
        </w:rPr>
        <w:t>165,004.2</w:t>
      </w:r>
      <w:r w:rsidR="00BE3AB9">
        <w:rPr>
          <w:rFonts w:ascii="Times New Roman" w:hAnsi="Times New Roman"/>
        </w:rPr>
        <w:t>0</w:t>
      </w:r>
    </w:p>
    <w:p w14:paraId="48F5936D" w14:textId="77777777" w:rsidR="003D111D" w:rsidRDefault="003D111D" w:rsidP="007D59AC">
      <w:pPr>
        <w:autoSpaceDE w:val="0"/>
        <w:autoSpaceDN w:val="0"/>
        <w:adjustRightInd w:val="0"/>
        <w:spacing w:after="0" w:line="240" w:lineRule="auto"/>
        <w:rPr>
          <w:rFonts w:ascii="Times New Roman" w:hAnsi="Times New Roman"/>
        </w:rPr>
      </w:pPr>
    </w:p>
    <w:p w14:paraId="147787FC" w14:textId="77777777" w:rsidR="00D00ED4" w:rsidRPr="00A64C8C" w:rsidRDefault="00D00ED4" w:rsidP="007D59AC">
      <w:pPr>
        <w:autoSpaceDE w:val="0"/>
        <w:autoSpaceDN w:val="0"/>
        <w:adjustRightInd w:val="0"/>
        <w:spacing w:after="0" w:line="240" w:lineRule="auto"/>
        <w:rPr>
          <w:rFonts w:ascii="Times New Roman" w:hAnsi="Times New Roman"/>
        </w:rPr>
      </w:pPr>
    </w:p>
    <w:p w14:paraId="10258FFF" w14:textId="77777777" w:rsidR="003D111D" w:rsidRPr="00A64C8C" w:rsidRDefault="003D111D" w:rsidP="00A64C8C">
      <w:pPr>
        <w:pStyle w:val="ListParagraph"/>
        <w:numPr>
          <w:ilvl w:val="0"/>
          <w:numId w:val="1"/>
        </w:numPr>
        <w:autoSpaceDE w:val="0"/>
        <w:autoSpaceDN w:val="0"/>
        <w:adjustRightInd w:val="0"/>
        <w:spacing w:after="0" w:line="240" w:lineRule="auto"/>
        <w:rPr>
          <w:rFonts w:ascii="Times New Roman" w:hAnsi="Times New Roman"/>
        </w:rPr>
      </w:pPr>
      <w:r w:rsidRPr="00A64C8C">
        <w:rPr>
          <w:rFonts w:ascii="Times New Roman" w:hAnsi="Times New Roman"/>
        </w:rPr>
        <w:lastRenderedPageBreak/>
        <w:t>Using the OCF equation:</w:t>
      </w:r>
    </w:p>
    <w:p w14:paraId="0C11E37C" w14:textId="77777777" w:rsidR="003D111D" w:rsidRPr="00A64C8C" w:rsidRDefault="003D111D" w:rsidP="00A64C8C">
      <w:pPr>
        <w:pStyle w:val="ListParagraph"/>
        <w:autoSpaceDE w:val="0"/>
        <w:autoSpaceDN w:val="0"/>
        <w:adjustRightInd w:val="0"/>
        <w:spacing w:after="0" w:line="240" w:lineRule="auto"/>
        <w:ind w:left="360"/>
        <w:rPr>
          <w:rFonts w:ascii="Times New Roman" w:hAnsi="Times New Roman"/>
        </w:rPr>
      </w:pPr>
    </w:p>
    <w:p w14:paraId="2550C837" w14:textId="77777777" w:rsidR="003D111D" w:rsidRPr="00A64C8C" w:rsidRDefault="003D111D" w:rsidP="00E37053">
      <w:pPr>
        <w:autoSpaceDE w:val="0"/>
        <w:autoSpaceDN w:val="0"/>
        <w:adjustRightInd w:val="0"/>
        <w:spacing w:after="0" w:line="240" w:lineRule="auto"/>
        <w:ind w:left="360"/>
        <w:rPr>
          <w:rFonts w:ascii="Times New Roman" w:hAnsi="Times New Roman"/>
        </w:rPr>
      </w:pPr>
      <w:r w:rsidRPr="00A64C8C">
        <w:rPr>
          <w:rFonts w:ascii="Times New Roman" w:hAnsi="Times New Roman"/>
        </w:rPr>
        <w:t>OCF = EBIT + Depreciation – Taxes</w:t>
      </w:r>
    </w:p>
    <w:p w14:paraId="271DBA5A" w14:textId="77777777" w:rsidR="003D111D" w:rsidRPr="00A64C8C" w:rsidRDefault="003D111D" w:rsidP="00E37053">
      <w:pPr>
        <w:autoSpaceDE w:val="0"/>
        <w:autoSpaceDN w:val="0"/>
        <w:adjustRightInd w:val="0"/>
        <w:spacing w:after="0" w:line="240" w:lineRule="auto"/>
        <w:ind w:left="360"/>
        <w:rPr>
          <w:rFonts w:ascii="Times New Roman" w:hAnsi="Times New Roman"/>
        </w:rPr>
      </w:pPr>
    </w:p>
    <w:p w14:paraId="3A82D667" w14:textId="77777777" w:rsidR="003D111D" w:rsidRPr="00A64C8C" w:rsidRDefault="003D111D" w:rsidP="00E37053">
      <w:pPr>
        <w:autoSpaceDE w:val="0"/>
        <w:autoSpaceDN w:val="0"/>
        <w:adjustRightInd w:val="0"/>
        <w:spacing w:after="0" w:line="240" w:lineRule="auto"/>
        <w:ind w:left="360"/>
        <w:rPr>
          <w:rFonts w:ascii="Times New Roman" w:hAnsi="Times New Roman"/>
        </w:rPr>
      </w:pPr>
      <w:r w:rsidRPr="00A64C8C">
        <w:rPr>
          <w:rFonts w:ascii="Times New Roman" w:hAnsi="Times New Roman"/>
        </w:rPr>
        <w:t>The OCF for each year is:</w:t>
      </w:r>
    </w:p>
    <w:p w14:paraId="486800BD" w14:textId="77777777" w:rsidR="003D111D" w:rsidRPr="00A64C8C" w:rsidRDefault="003D111D" w:rsidP="00E37053">
      <w:pPr>
        <w:autoSpaceDE w:val="0"/>
        <w:autoSpaceDN w:val="0"/>
        <w:adjustRightInd w:val="0"/>
        <w:spacing w:after="0" w:line="240" w:lineRule="auto"/>
        <w:ind w:left="360"/>
        <w:rPr>
          <w:rFonts w:ascii="Times New Roman" w:hAnsi="Times New Roman"/>
        </w:rPr>
      </w:pPr>
    </w:p>
    <w:p w14:paraId="58F12BE6" w14:textId="3BC9DEED" w:rsidR="003D111D" w:rsidRPr="00A64C8C" w:rsidRDefault="003D111D" w:rsidP="00E37053">
      <w:pPr>
        <w:autoSpaceDE w:val="0"/>
        <w:autoSpaceDN w:val="0"/>
        <w:adjustRightInd w:val="0"/>
        <w:spacing w:after="0" w:line="240" w:lineRule="auto"/>
        <w:ind w:left="360"/>
        <w:rPr>
          <w:rFonts w:ascii="Times New Roman" w:hAnsi="Times New Roman"/>
        </w:rPr>
      </w:pPr>
      <w:r>
        <w:rPr>
          <w:rFonts w:ascii="Times New Roman" w:hAnsi="Times New Roman"/>
        </w:rPr>
        <w:t>OCF201</w:t>
      </w:r>
      <w:r w:rsidR="00CF0789">
        <w:rPr>
          <w:rFonts w:ascii="Times New Roman" w:hAnsi="Times New Roman"/>
        </w:rPr>
        <w:t>7</w:t>
      </w:r>
      <w:r>
        <w:rPr>
          <w:rFonts w:ascii="Times New Roman" w:hAnsi="Times New Roman"/>
        </w:rPr>
        <w:t xml:space="preserve"> = $</w:t>
      </w:r>
      <w:r w:rsidR="00BA078A">
        <w:rPr>
          <w:rFonts w:ascii="Times New Roman" w:hAnsi="Times New Roman"/>
        </w:rPr>
        <w:t>79,110 + 46,255 – 13,810.80</w:t>
      </w:r>
    </w:p>
    <w:p w14:paraId="372DFD35" w14:textId="42F38285" w:rsidR="003D111D" w:rsidRPr="00A64C8C" w:rsidRDefault="003D111D" w:rsidP="00E37053">
      <w:pPr>
        <w:autoSpaceDE w:val="0"/>
        <w:autoSpaceDN w:val="0"/>
        <w:adjustRightInd w:val="0"/>
        <w:spacing w:after="0" w:line="240" w:lineRule="auto"/>
        <w:ind w:left="360"/>
        <w:rPr>
          <w:rFonts w:ascii="Times New Roman" w:hAnsi="Times New Roman"/>
        </w:rPr>
      </w:pPr>
      <w:r>
        <w:rPr>
          <w:rFonts w:ascii="Times New Roman" w:hAnsi="Times New Roman"/>
        </w:rPr>
        <w:t>OCF201</w:t>
      </w:r>
      <w:r w:rsidR="00CF0789">
        <w:rPr>
          <w:rFonts w:ascii="Times New Roman" w:hAnsi="Times New Roman"/>
        </w:rPr>
        <w:t>7</w:t>
      </w:r>
      <w:r w:rsidRPr="00A64C8C">
        <w:rPr>
          <w:rFonts w:ascii="Times New Roman" w:hAnsi="Times New Roman"/>
        </w:rPr>
        <w:t xml:space="preserve"> = $</w:t>
      </w:r>
      <w:r w:rsidR="00BA078A">
        <w:rPr>
          <w:rFonts w:ascii="Times New Roman" w:hAnsi="Times New Roman"/>
        </w:rPr>
        <w:t>111,554.20</w:t>
      </w:r>
    </w:p>
    <w:p w14:paraId="7A57AE3F" w14:textId="77777777" w:rsidR="003D111D" w:rsidRPr="00A64C8C" w:rsidRDefault="003D111D" w:rsidP="00E37053">
      <w:pPr>
        <w:autoSpaceDE w:val="0"/>
        <w:autoSpaceDN w:val="0"/>
        <w:adjustRightInd w:val="0"/>
        <w:spacing w:after="0" w:line="240" w:lineRule="auto"/>
        <w:ind w:left="360"/>
        <w:rPr>
          <w:rFonts w:ascii="Times New Roman" w:hAnsi="Times New Roman"/>
        </w:rPr>
      </w:pPr>
    </w:p>
    <w:p w14:paraId="10C4987B" w14:textId="288ED8F3" w:rsidR="003D111D" w:rsidRPr="00A64C8C" w:rsidRDefault="003D111D" w:rsidP="00E37053">
      <w:pPr>
        <w:autoSpaceDE w:val="0"/>
        <w:autoSpaceDN w:val="0"/>
        <w:adjustRightInd w:val="0"/>
        <w:spacing w:after="0" w:line="240" w:lineRule="auto"/>
        <w:ind w:left="360"/>
        <w:rPr>
          <w:rFonts w:ascii="Times New Roman" w:hAnsi="Times New Roman"/>
        </w:rPr>
      </w:pPr>
      <w:r>
        <w:rPr>
          <w:rFonts w:ascii="Times New Roman" w:hAnsi="Times New Roman"/>
        </w:rPr>
        <w:t>OCF201</w:t>
      </w:r>
      <w:r w:rsidR="00CF0789">
        <w:rPr>
          <w:rFonts w:ascii="Times New Roman" w:hAnsi="Times New Roman"/>
        </w:rPr>
        <w:t>8</w:t>
      </w:r>
      <w:r>
        <w:rPr>
          <w:rFonts w:ascii="Times New Roman" w:hAnsi="Times New Roman"/>
        </w:rPr>
        <w:t xml:space="preserve"> = $</w:t>
      </w:r>
      <w:r w:rsidR="00BA078A">
        <w:rPr>
          <w:rFonts w:ascii="Times New Roman" w:hAnsi="Times New Roman"/>
        </w:rPr>
        <w:t>90,584 + 52,282 -15,811.60</w:t>
      </w:r>
    </w:p>
    <w:p w14:paraId="611A683F" w14:textId="3D47CF44" w:rsidR="003D111D" w:rsidRPr="00A64C8C" w:rsidRDefault="003D111D" w:rsidP="00E37053">
      <w:pPr>
        <w:autoSpaceDE w:val="0"/>
        <w:autoSpaceDN w:val="0"/>
        <w:adjustRightInd w:val="0"/>
        <w:spacing w:after="0" w:line="240" w:lineRule="auto"/>
        <w:ind w:left="360"/>
        <w:rPr>
          <w:rFonts w:ascii="Times New Roman" w:hAnsi="Times New Roman"/>
        </w:rPr>
      </w:pPr>
      <w:r>
        <w:rPr>
          <w:rFonts w:ascii="Times New Roman" w:hAnsi="Times New Roman"/>
        </w:rPr>
        <w:t>OCF201</w:t>
      </w:r>
      <w:r w:rsidR="00CF0789">
        <w:rPr>
          <w:rFonts w:ascii="Times New Roman" w:hAnsi="Times New Roman"/>
        </w:rPr>
        <w:t>8</w:t>
      </w:r>
      <w:r>
        <w:rPr>
          <w:rFonts w:ascii="Times New Roman" w:hAnsi="Times New Roman"/>
        </w:rPr>
        <w:t xml:space="preserve"> = $</w:t>
      </w:r>
      <w:r w:rsidR="00BA078A">
        <w:rPr>
          <w:rFonts w:ascii="Times New Roman" w:hAnsi="Times New Roman"/>
        </w:rPr>
        <w:t>127,052.4</w:t>
      </w:r>
      <w:r w:rsidR="00BE3AB9">
        <w:rPr>
          <w:rFonts w:ascii="Times New Roman" w:hAnsi="Times New Roman"/>
        </w:rPr>
        <w:t>0</w:t>
      </w:r>
    </w:p>
    <w:p w14:paraId="4D1E1041" w14:textId="77777777" w:rsidR="003D111D" w:rsidRPr="00A64C8C" w:rsidRDefault="003D111D" w:rsidP="00E37053">
      <w:pPr>
        <w:autoSpaceDE w:val="0"/>
        <w:autoSpaceDN w:val="0"/>
        <w:adjustRightInd w:val="0"/>
        <w:spacing w:after="0" w:line="240" w:lineRule="auto"/>
        <w:ind w:left="360"/>
        <w:rPr>
          <w:rFonts w:ascii="Times New Roman" w:hAnsi="Times New Roman"/>
        </w:rPr>
      </w:pPr>
    </w:p>
    <w:p w14:paraId="15625F83" w14:textId="70C088B3" w:rsidR="003D111D" w:rsidRDefault="003D111D" w:rsidP="00A64C8C">
      <w:pPr>
        <w:pStyle w:val="ListParagraph"/>
        <w:numPr>
          <w:ilvl w:val="0"/>
          <w:numId w:val="1"/>
        </w:numPr>
        <w:autoSpaceDE w:val="0"/>
        <w:autoSpaceDN w:val="0"/>
        <w:adjustRightInd w:val="0"/>
        <w:spacing w:after="0" w:line="240" w:lineRule="auto"/>
        <w:rPr>
          <w:rFonts w:ascii="Times New Roman" w:hAnsi="Times New Roman"/>
        </w:rPr>
      </w:pPr>
      <w:r w:rsidRPr="00A64C8C">
        <w:rPr>
          <w:rFonts w:ascii="Times New Roman" w:hAnsi="Times New Roman"/>
        </w:rPr>
        <w:t>To calculate the cash flow from assets, we need to find the capital spending and change in net</w:t>
      </w:r>
      <w:r>
        <w:rPr>
          <w:rFonts w:ascii="Times New Roman" w:hAnsi="Times New Roman"/>
        </w:rPr>
        <w:t xml:space="preserve"> </w:t>
      </w:r>
      <w:r w:rsidRPr="00A64C8C">
        <w:rPr>
          <w:rFonts w:ascii="Times New Roman" w:hAnsi="Times New Roman"/>
        </w:rPr>
        <w:t xml:space="preserve">working capital. The capital spending </w:t>
      </w:r>
      <w:r w:rsidR="000B3896">
        <w:rPr>
          <w:rFonts w:ascii="Times New Roman" w:hAnsi="Times New Roman"/>
        </w:rPr>
        <w:t xml:space="preserve">and net working capital change </w:t>
      </w:r>
      <w:r w:rsidRPr="00A64C8C">
        <w:rPr>
          <w:rFonts w:ascii="Times New Roman" w:hAnsi="Times New Roman"/>
        </w:rPr>
        <w:t xml:space="preserve">for </w:t>
      </w:r>
      <w:r w:rsidR="008C4E85">
        <w:rPr>
          <w:rFonts w:ascii="Times New Roman" w:hAnsi="Times New Roman"/>
        </w:rPr>
        <w:t>201</w:t>
      </w:r>
      <w:r w:rsidR="00CF0789">
        <w:rPr>
          <w:rFonts w:ascii="Times New Roman" w:hAnsi="Times New Roman"/>
        </w:rPr>
        <w:t>8</w:t>
      </w:r>
      <w:r w:rsidR="008C4E85" w:rsidRPr="00A64C8C">
        <w:rPr>
          <w:rFonts w:ascii="Times New Roman" w:hAnsi="Times New Roman"/>
        </w:rPr>
        <w:t xml:space="preserve"> </w:t>
      </w:r>
      <w:r w:rsidRPr="00A64C8C">
        <w:rPr>
          <w:rFonts w:ascii="Times New Roman" w:hAnsi="Times New Roman"/>
        </w:rPr>
        <w:t xml:space="preserve">year </w:t>
      </w:r>
      <w:r w:rsidR="00FB7752">
        <w:rPr>
          <w:rFonts w:ascii="Times New Roman" w:hAnsi="Times New Roman"/>
        </w:rPr>
        <w:t>were</w:t>
      </w:r>
      <w:r w:rsidRPr="00A64C8C">
        <w:rPr>
          <w:rFonts w:ascii="Times New Roman" w:hAnsi="Times New Roman"/>
        </w:rPr>
        <w:t>:</w:t>
      </w:r>
    </w:p>
    <w:p w14:paraId="79F6EC85" w14:textId="77777777" w:rsidR="003D111D" w:rsidRDefault="003D111D" w:rsidP="00A64C8C">
      <w:pPr>
        <w:autoSpaceDE w:val="0"/>
        <w:autoSpaceDN w:val="0"/>
        <w:adjustRightInd w:val="0"/>
        <w:spacing w:after="0" w:line="240" w:lineRule="auto"/>
        <w:rPr>
          <w:rFonts w:ascii="Times New Roman" w:hAnsi="Times New Roman"/>
        </w:rPr>
      </w:pPr>
    </w:p>
    <w:tbl>
      <w:tblPr>
        <w:tblW w:w="4000" w:type="dxa"/>
        <w:tblInd w:w="93" w:type="dxa"/>
        <w:tblLook w:val="04A0" w:firstRow="1" w:lastRow="0" w:firstColumn="1" w:lastColumn="0" w:noHBand="0" w:noVBand="1"/>
      </w:tblPr>
      <w:tblGrid>
        <w:gridCol w:w="2640"/>
        <w:gridCol w:w="1360"/>
      </w:tblGrid>
      <w:tr w:rsidR="00BA078A" w:rsidRPr="00BA078A" w14:paraId="572E87C7" w14:textId="77777777" w:rsidTr="00BA078A">
        <w:trPr>
          <w:trHeight w:val="500"/>
        </w:trPr>
        <w:tc>
          <w:tcPr>
            <w:tcW w:w="2640" w:type="dxa"/>
            <w:tcBorders>
              <w:top w:val="nil"/>
              <w:left w:val="nil"/>
              <w:bottom w:val="nil"/>
              <w:right w:val="nil"/>
            </w:tcBorders>
            <w:shd w:val="clear" w:color="auto" w:fill="auto"/>
            <w:noWrap/>
            <w:vAlign w:val="bottom"/>
            <w:hideMark/>
          </w:tcPr>
          <w:p w14:paraId="6D9F6E76" w14:textId="77777777" w:rsidR="00BA078A" w:rsidRPr="00BA078A" w:rsidRDefault="00BA078A" w:rsidP="00BA078A">
            <w:pPr>
              <w:spacing w:after="0" w:line="240" w:lineRule="auto"/>
              <w:rPr>
                <w:rFonts w:eastAsia="Times New Roman"/>
                <w:i/>
                <w:iCs/>
                <w:color w:val="000000"/>
                <w:sz w:val="24"/>
                <w:szCs w:val="24"/>
                <w:lang w:val="en-CA"/>
              </w:rPr>
            </w:pPr>
            <w:r w:rsidRPr="00BA078A">
              <w:rPr>
                <w:rFonts w:eastAsia="Times New Roman"/>
                <w:i/>
                <w:iCs/>
                <w:color w:val="000000"/>
                <w:sz w:val="24"/>
                <w:szCs w:val="24"/>
                <w:lang w:val="en-CA"/>
              </w:rPr>
              <w:t>Net Capital Spending</w:t>
            </w:r>
          </w:p>
        </w:tc>
        <w:tc>
          <w:tcPr>
            <w:tcW w:w="1360" w:type="dxa"/>
            <w:tcBorders>
              <w:top w:val="nil"/>
              <w:left w:val="nil"/>
              <w:bottom w:val="nil"/>
              <w:right w:val="nil"/>
            </w:tcBorders>
            <w:shd w:val="clear" w:color="auto" w:fill="auto"/>
            <w:noWrap/>
            <w:vAlign w:val="bottom"/>
            <w:hideMark/>
          </w:tcPr>
          <w:p w14:paraId="185D87C6" w14:textId="77777777" w:rsidR="00BA078A" w:rsidRPr="00BA078A" w:rsidRDefault="00BA078A" w:rsidP="00BA078A">
            <w:pPr>
              <w:spacing w:after="0" w:line="240" w:lineRule="auto"/>
              <w:rPr>
                <w:rFonts w:eastAsia="Times New Roman"/>
                <w:color w:val="000000"/>
                <w:sz w:val="24"/>
                <w:szCs w:val="24"/>
                <w:lang w:val="en-CA"/>
              </w:rPr>
            </w:pPr>
          </w:p>
        </w:tc>
      </w:tr>
      <w:tr w:rsidR="00BA078A" w:rsidRPr="00BA078A" w14:paraId="6DC95F1D" w14:textId="77777777" w:rsidTr="00BA078A">
        <w:trPr>
          <w:trHeight w:val="500"/>
        </w:trPr>
        <w:tc>
          <w:tcPr>
            <w:tcW w:w="2640" w:type="dxa"/>
            <w:tcBorders>
              <w:top w:val="nil"/>
              <w:left w:val="nil"/>
              <w:bottom w:val="nil"/>
              <w:right w:val="nil"/>
            </w:tcBorders>
            <w:shd w:val="clear" w:color="auto" w:fill="auto"/>
            <w:vAlign w:val="center"/>
            <w:hideMark/>
          </w:tcPr>
          <w:p w14:paraId="2F1BB6C2" w14:textId="77777777" w:rsidR="00BA078A" w:rsidRPr="00BA078A" w:rsidRDefault="00BA078A" w:rsidP="00BA078A">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xml:space="preserve">Ending net fixed assets </w:t>
            </w:r>
          </w:p>
        </w:tc>
        <w:tc>
          <w:tcPr>
            <w:tcW w:w="1360" w:type="dxa"/>
            <w:tcBorders>
              <w:top w:val="nil"/>
              <w:left w:val="nil"/>
              <w:bottom w:val="nil"/>
              <w:right w:val="nil"/>
            </w:tcBorders>
            <w:shd w:val="clear" w:color="auto" w:fill="auto"/>
            <w:vAlign w:val="center"/>
            <w:hideMark/>
          </w:tcPr>
          <w:p w14:paraId="553F05AB" w14:textId="77777777" w:rsidR="00BA078A" w:rsidRPr="00BA078A" w:rsidRDefault="00BA078A" w:rsidP="00BA078A">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$248,625.00</w:t>
            </w:r>
          </w:p>
        </w:tc>
      </w:tr>
      <w:tr w:rsidR="00BA078A" w:rsidRPr="00BA078A" w14:paraId="05A108D3" w14:textId="77777777" w:rsidTr="00BA078A">
        <w:trPr>
          <w:trHeight w:val="480"/>
        </w:trPr>
        <w:tc>
          <w:tcPr>
            <w:tcW w:w="2640" w:type="dxa"/>
            <w:tcBorders>
              <w:top w:val="nil"/>
              <w:left w:val="nil"/>
              <w:bottom w:val="nil"/>
              <w:right w:val="nil"/>
            </w:tcBorders>
            <w:shd w:val="clear" w:color="auto" w:fill="auto"/>
            <w:vAlign w:val="center"/>
            <w:hideMark/>
          </w:tcPr>
          <w:p w14:paraId="6152CE40" w14:textId="77777777" w:rsidR="00BA078A" w:rsidRPr="00BA078A" w:rsidRDefault="00BA078A" w:rsidP="00BA078A">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xml:space="preserve">– Beginning net fixed assets </w:t>
            </w:r>
          </w:p>
        </w:tc>
        <w:tc>
          <w:tcPr>
            <w:tcW w:w="1360" w:type="dxa"/>
            <w:tcBorders>
              <w:top w:val="nil"/>
              <w:left w:val="nil"/>
              <w:bottom w:val="nil"/>
              <w:right w:val="nil"/>
            </w:tcBorders>
            <w:shd w:val="clear" w:color="auto" w:fill="auto"/>
            <w:vAlign w:val="center"/>
            <w:hideMark/>
          </w:tcPr>
          <w:p w14:paraId="40BF4AB0" w14:textId="77777777" w:rsidR="00BA078A" w:rsidRPr="00BA078A" w:rsidRDefault="00BA078A" w:rsidP="00BA078A">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$204,068.00</w:t>
            </w:r>
          </w:p>
        </w:tc>
      </w:tr>
      <w:tr w:rsidR="00BA078A" w:rsidRPr="00BA078A" w14:paraId="469FFB30" w14:textId="77777777" w:rsidTr="00BA078A">
        <w:trPr>
          <w:trHeight w:val="740"/>
        </w:trPr>
        <w:tc>
          <w:tcPr>
            <w:tcW w:w="2640" w:type="dxa"/>
            <w:tcBorders>
              <w:top w:val="nil"/>
              <w:left w:val="nil"/>
              <w:bottom w:val="nil"/>
              <w:right w:val="nil"/>
            </w:tcBorders>
            <w:shd w:val="clear" w:color="auto" w:fill="auto"/>
            <w:vAlign w:val="center"/>
            <w:hideMark/>
          </w:tcPr>
          <w:p w14:paraId="0DDC33B0" w14:textId="77777777" w:rsidR="00BA078A" w:rsidRPr="00BA078A" w:rsidRDefault="00BA078A" w:rsidP="00BA078A">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xml:space="preserve">+ Depreciation </w:t>
            </w:r>
          </w:p>
        </w:tc>
        <w:tc>
          <w:tcPr>
            <w:tcW w:w="1360" w:type="dxa"/>
            <w:tcBorders>
              <w:top w:val="nil"/>
              <w:left w:val="nil"/>
              <w:bottom w:val="single" w:sz="8" w:space="0" w:color="000000"/>
              <w:right w:val="nil"/>
            </w:tcBorders>
            <w:shd w:val="clear" w:color="auto" w:fill="auto"/>
            <w:vAlign w:val="center"/>
            <w:hideMark/>
          </w:tcPr>
          <w:p w14:paraId="53B7A0C8" w14:textId="77777777" w:rsidR="00BA078A" w:rsidRPr="00BA078A" w:rsidRDefault="00BA078A" w:rsidP="00BA078A">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$52,282.00</w:t>
            </w:r>
          </w:p>
        </w:tc>
      </w:tr>
      <w:tr w:rsidR="00BA078A" w:rsidRPr="00BA078A" w14:paraId="7E01879A" w14:textId="77777777" w:rsidTr="00BA078A">
        <w:trPr>
          <w:trHeight w:val="480"/>
        </w:trPr>
        <w:tc>
          <w:tcPr>
            <w:tcW w:w="2640" w:type="dxa"/>
            <w:tcBorders>
              <w:top w:val="nil"/>
              <w:left w:val="nil"/>
              <w:bottom w:val="nil"/>
              <w:right w:val="nil"/>
            </w:tcBorders>
            <w:shd w:val="clear" w:color="auto" w:fill="auto"/>
            <w:vAlign w:val="center"/>
            <w:hideMark/>
          </w:tcPr>
          <w:p w14:paraId="027434D0" w14:textId="77777777" w:rsidR="00BA078A" w:rsidRPr="00BA078A" w:rsidRDefault="00BA078A" w:rsidP="00BA078A">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xml:space="preserve">   Net capital spending</w:t>
            </w:r>
          </w:p>
        </w:tc>
        <w:tc>
          <w:tcPr>
            <w:tcW w:w="1360" w:type="dxa"/>
            <w:tcBorders>
              <w:top w:val="nil"/>
              <w:left w:val="nil"/>
              <w:bottom w:val="nil"/>
              <w:right w:val="nil"/>
            </w:tcBorders>
            <w:shd w:val="clear" w:color="auto" w:fill="auto"/>
            <w:vAlign w:val="center"/>
            <w:hideMark/>
          </w:tcPr>
          <w:p w14:paraId="3F1AB0E8" w14:textId="77777777" w:rsidR="00BA078A" w:rsidRPr="00BA078A" w:rsidRDefault="00BA078A" w:rsidP="00BA078A">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$96,839.00</w:t>
            </w:r>
          </w:p>
        </w:tc>
      </w:tr>
      <w:tr w:rsidR="00BA078A" w:rsidRPr="00BA078A" w14:paraId="3A51B4BE" w14:textId="77777777" w:rsidTr="00BA078A">
        <w:trPr>
          <w:trHeight w:val="500"/>
        </w:trPr>
        <w:tc>
          <w:tcPr>
            <w:tcW w:w="2640" w:type="dxa"/>
            <w:tcBorders>
              <w:top w:val="nil"/>
              <w:left w:val="nil"/>
              <w:bottom w:val="nil"/>
              <w:right w:val="nil"/>
            </w:tcBorders>
            <w:shd w:val="clear" w:color="auto" w:fill="auto"/>
            <w:noWrap/>
            <w:vAlign w:val="bottom"/>
            <w:hideMark/>
          </w:tcPr>
          <w:p w14:paraId="1BBC0F31" w14:textId="77777777" w:rsidR="00BA078A" w:rsidRPr="00BA078A" w:rsidRDefault="00BA078A" w:rsidP="00BA078A">
            <w:pPr>
              <w:spacing w:after="0" w:line="240" w:lineRule="auto"/>
              <w:rPr>
                <w:rFonts w:eastAsia="Times New Roman"/>
                <w:color w:val="000000"/>
                <w:sz w:val="24"/>
                <w:szCs w:val="24"/>
                <w:lang w:val="en-CA"/>
              </w:rPr>
            </w:pPr>
          </w:p>
        </w:tc>
        <w:tc>
          <w:tcPr>
            <w:tcW w:w="1360" w:type="dxa"/>
            <w:tcBorders>
              <w:top w:val="nil"/>
              <w:left w:val="nil"/>
              <w:bottom w:val="nil"/>
              <w:right w:val="nil"/>
            </w:tcBorders>
            <w:shd w:val="clear" w:color="auto" w:fill="auto"/>
            <w:noWrap/>
            <w:vAlign w:val="bottom"/>
            <w:hideMark/>
          </w:tcPr>
          <w:p w14:paraId="189F822D" w14:textId="77777777" w:rsidR="00BA078A" w:rsidRPr="00BA078A" w:rsidRDefault="00BA078A" w:rsidP="00BA078A">
            <w:pPr>
              <w:spacing w:after="0" w:line="240" w:lineRule="auto"/>
              <w:rPr>
                <w:rFonts w:eastAsia="Times New Roman"/>
                <w:color w:val="000000"/>
                <w:sz w:val="24"/>
                <w:szCs w:val="24"/>
                <w:lang w:val="en-CA"/>
              </w:rPr>
            </w:pPr>
          </w:p>
        </w:tc>
      </w:tr>
      <w:tr w:rsidR="00BA078A" w:rsidRPr="00BA078A" w14:paraId="7FF77587" w14:textId="77777777" w:rsidTr="00BA078A">
        <w:trPr>
          <w:trHeight w:val="500"/>
        </w:trPr>
        <w:tc>
          <w:tcPr>
            <w:tcW w:w="4000" w:type="dxa"/>
            <w:gridSpan w:val="2"/>
            <w:tcBorders>
              <w:top w:val="nil"/>
              <w:left w:val="nil"/>
              <w:bottom w:val="nil"/>
              <w:right w:val="nil"/>
            </w:tcBorders>
            <w:shd w:val="clear" w:color="auto" w:fill="auto"/>
            <w:noWrap/>
            <w:vAlign w:val="bottom"/>
            <w:hideMark/>
          </w:tcPr>
          <w:p w14:paraId="6B8F9FEF" w14:textId="77777777" w:rsidR="00BA078A" w:rsidRPr="00BA078A" w:rsidRDefault="00BA078A" w:rsidP="00BA078A">
            <w:pPr>
              <w:spacing w:after="0" w:line="240" w:lineRule="auto"/>
              <w:rPr>
                <w:rFonts w:eastAsia="Times New Roman"/>
                <w:i/>
                <w:iCs/>
                <w:color w:val="000000"/>
                <w:sz w:val="24"/>
                <w:szCs w:val="24"/>
                <w:lang w:val="en-CA"/>
              </w:rPr>
            </w:pPr>
            <w:r w:rsidRPr="00BA078A">
              <w:rPr>
                <w:rFonts w:eastAsia="Times New Roman"/>
                <w:i/>
                <w:iCs/>
                <w:color w:val="000000"/>
                <w:sz w:val="24"/>
                <w:szCs w:val="24"/>
                <w:lang w:val="en-CA"/>
              </w:rPr>
              <w:t>Change in Net Working Capital</w:t>
            </w:r>
          </w:p>
        </w:tc>
      </w:tr>
      <w:tr w:rsidR="00BA078A" w:rsidRPr="00BA078A" w14:paraId="591CF515" w14:textId="77777777" w:rsidTr="00BA078A">
        <w:trPr>
          <w:trHeight w:val="520"/>
        </w:trPr>
        <w:tc>
          <w:tcPr>
            <w:tcW w:w="2640" w:type="dxa"/>
            <w:tcBorders>
              <w:top w:val="nil"/>
              <w:left w:val="nil"/>
              <w:bottom w:val="nil"/>
              <w:right w:val="nil"/>
            </w:tcBorders>
            <w:shd w:val="clear" w:color="auto" w:fill="auto"/>
            <w:vAlign w:val="center"/>
            <w:hideMark/>
          </w:tcPr>
          <w:p w14:paraId="5364B6D9" w14:textId="77777777" w:rsidR="00BA078A" w:rsidRPr="00BA078A" w:rsidRDefault="00BA078A" w:rsidP="00BA078A">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xml:space="preserve">Ending NWC </w:t>
            </w:r>
          </w:p>
        </w:tc>
        <w:tc>
          <w:tcPr>
            <w:tcW w:w="1360" w:type="dxa"/>
            <w:tcBorders>
              <w:top w:val="nil"/>
              <w:left w:val="nil"/>
              <w:bottom w:val="nil"/>
              <w:right w:val="nil"/>
            </w:tcBorders>
            <w:shd w:val="clear" w:color="auto" w:fill="auto"/>
            <w:vAlign w:val="center"/>
            <w:hideMark/>
          </w:tcPr>
          <w:p w14:paraId="59C797F2" w14:textId="77777777" w:rsidR="00BA078A" w:rsidRPr="00BA078A" w:rsidRDefault="00BA078A" w:rsidP="00BA078A">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$32,713.00</w:t>
            </w:r>
          </w:p>
        </w:tc>
      </w:tr>
      <w:tr w:rsidR="00BA078A" w:rsidRPr="00BA078A" w14:paraId="278C8570" w14:textId="77777777" w:rsidTr="00BA078A">
        <w:trPr>
          <w:trHeight w:val="320"/>
        </w:trPr>
        <w:tc>
          <w:tcPr>
            <w:tcW w:w="2640" w:type="dxa"/>
            <w:tcBorders>
              <w:top w:val="nil"/>
              <w:left w:val="nil"/>
              <w:bottom w:val="nil"/>
              <w:right w:val="nil"/>
            </w:tcBorders>
            <w:shd w:val="clear" w:color="auto" w:fill="auto"/>
            <w:vAlign w:val="center"/>
            <w:hideMark/>
          </w:tcPr>
          <w:p w14:paraId="46F2FC1F" w14:textId="77777777" w:rsidR="00BA078A" w:rsidRPr="00BA078A" w:rsidRDefault="00BA078A" w:rsidP="00BA078A">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xml:space="preserve">– Beginning NWC </w:t>
            </w:r>
          </w:p>
        </w:tc>
        <w:tc>
          <w:tcPr>
            <w:tcW w:w="1360" w:type="dxa"/>
            <w:tcBorders>
              <w:top w:val="nil"/>
              <w:left w:val="nil"/>
              <w:bottom w:val="nil"/>
              <w:right w:val="nil"/>
            </w:tcBorders>
            <w:shd w:val="clear" w:color="auto" w:fill="auto"/>
            <w:vAlign w:val="center"/>
            <w:hideMark/>
          </w:tcPr>
          <w:p w14:paraId="72BF14C4" w14:textId="77777777" w:rsidR="00BA078A" w:rsidRPr="00BA078A" w:rsidRDefault="00BA078A" w:rsidP="00BA078A">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$11,819.00</w:t>
            </w:r>
          </w:p>
        </w:tc>
      </w:tr>
      <w:tr w:rsidR="00BA078A" w:rsidRPr="00BA078A" w14:paraId="5156C56A" w14:textId="77777777" w:rsidTr="00BA078A">
        <w:trPr>
          <w:trHeight w:val="480"/>
        </w:trPr>
        <w:tc>
          <w:tcPr>
            <w:tcW w:w="2640" w:type="dxa"/>
            <w:tcBorders>
              <w:top w:val="nil"/>
              <w:left w:val="nil"/>
              <w:bottom w:val="nil"/>
              <w:right w:val="nil"/>
            </w:tcBorders>
            <w:shd w:val="clear" w:color="auto" w:fill="auto"/>
            <w:vAlign w:val="center"/>
            <w:hideMark/>
          </w:tcPr>
          <w:p w14:paraId="54E7D242" w14:textId="77777777" w:rsidR="00BA078A" w:rsidRPr="00BA078A" w:rsidRDefault="00BA078A" w:rsidP="00BA078A">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Change in NWC</w:t>
            </w:r>
          </w:p>
        </w:tc>
        <w:tc>
          <w:tcPr>
            <w:tcW w:w="1360" w:type="dxa"/>
            <w:tcBorders>
              <w:top w:val="single" w:sz="8" w:space="0" w:color="000000"/>
              <w:left w:val="nil"/>
              <w:bottom w:val="nil"/>
              <w:right w:val="nil"/>
            </w:tcBorders>
            <w:shd w:val="clear" w:color="auto" w:fill="auto"/>
            <w:vAlign w:val="center"/>
            <w:hideMark/>
          </w:tcPr>
          <w:p w14:paraId="5C7A0D22" w14:textId="77777777" w:rsidR="00BA078A" w:rsidRPr="00BA078A" w:rsidRDefault="00BA078A" w:rsidP="00BA078A">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$20,894.00</w:t>
            </w:r>
          </w:p>
        </w:tc>
      </w:tr>
    </w:tbl>
    <w:p w14:paraId="504631B5" w14:textId="77777777" w:rsidR="00BA078A" w:rsidRDefault="00BA078A" w:rsidP="00417662">
      <w:pPr>
        <w:autoSpaceDE w:val="0"/>
        <w:autoSpaceDN w:val="0"/>
        <w:adjustRightInd w:val="0"/>
        <w:spacing w:after="0" w:line="240" w:lineRule="auto"/>
        <w:ind w:left="360"/>
        <w:rPr>
          <w:rFonts w:ascii="Times New Roman" w:hAnsi="Times New Roman"/>
        </w:rPr>
      </w:pPr>
    </w:p>
    <w:p w14:paraId="2FEDD641" w14:textId="77777777" w:rsidR="00BA078A" w:rsidRDefault="00BA078A" w:rsidP="00A64C8C">
      <w:pPr>
        <w:autoSpaceDE w:val="0"/>
        <w:autoSpaceDN w:val="0"/>
        <w:adjustRightInd w:val="0"/>
        <w:spacing w:after="0" w:line="240" w:lineRule="auto"/>
        <w:rPr>
          <w:rFonts w:ascii="Times New Roman" w:hAnsi="Times New Roman"/>
        </w:rPr>
      </w:pPr>
    </w:p>
    <w:p w14:paraId="33505191" w14:textId="033EB188" w:rsidR="003D111D" w:rsidRDefault="00FB7752" w:rsidP="007E18C1">
      <w:pPr>
        <w:autoSpaceDE w:val="0"/>
        <w:autoSpaceDN w:val="0"/>
        <w:adjustRightInd w:val="0"/>
        <w:spacing w:after="0" w:line="240" w:lineRule="auto"/>
        <w:ind w:left="450"/>
        <w:rPr>
          <w:rFonts w:ascii="Times New Roman" w:hAnsi="Times New Roman"/>
        </w:rPr>
      </w:pPr>
      <w:r>
        <w:rPr>
          <w:rFonts w:ascii="Times New Roman" w:hAnsi="Times New Roman"/>
        </w:rPr>
        <w:t xml:space="preserve">These values are then used to calculate the </w:t>
      </w:r>
      <w:r w:rsidRPr="00417662">
        <w:rPr>
          <w:rFonts w:ascii="Times New Roman" w:hAnsi="Times New Roman"/>
          <w:i/>
        </w:rPr>
        <w:t>201</w:t>
      </w:r>
      <w:r w:rsidR="00CF0789">
        <w:rPr>
          <w:rFonts w:ascii="Times New Roman" w:hAnsi="Times New Roman"/>
          <w:i/>
        </w:rPr>
        <w:t>8</w:t>
      </w:r>
      <w:bookmarkStart w:id="0" w:name="_GoBack"/>
      <w:bookmarkEnd w:id="0"/>
      <w:r w:rsidRPr="00417662">
        <w:rPr>
          <w:rFonts w:ascii="Times New Roman" w:hAnsi="Times New Roman"/>
          <w:i/>
        </w:rPr>
        <w:t xml:space="preserve"> Cash Flow From Assets.</w:t>
      </w:r>
    </w:p>
    <w:tbl>
      <w:tblPr>
        <w:tblW w:w="4000" w:type="dxa"/>
        <w:tblInd w:w="93" w:type="dxa"/>
        <w:tblLook w:val="04A0" w:firstRow="1" w:lastRow="0" w:firstColumn="1" w:lastColumn="0" w:noHBand="0" w:noVBand="1"/>
      </w:tblPr>
      <w:tblGrid>
        <w:gridCol w:w="2640"/>
        <w:gridCol w:w="1360"/>
      </w:tblGrid>
      <w:tr w:rsidR="00FB7752" w:rsidRPr="00BA078A" w14:paraId="31D57CD9" w14:textId="77777777" w:rsidTr="00106572">
        <w:trPr>
          <w:trHeight w:val="740"/>
        </w:trPr>
        <w:tc>
          <w:tcPr>
            <w:tcW w:w="2640" w:type="dxa"/>
            <w:tcBorders>
              <w:top w:val="nil"/>
              <w:left w:val="nil"/>
              <w:bottom w:val="nil"/>
              <w:right w:val="nil"/>
            </w:tcBorders>
            <w:shd w:val="clear" w:color="auto" w:fill="auto"/>
            <w:noWrap/>
            <w:vAlign w:val="bottom"/>
            <w:hideMark/>
          </w:tcPr>
          <w:p w14:paraId="77FE688F" w14:textId="77777777" w:rsidR="00FB7752" w:rsidRPr="00BA078A" w:rsidRDefault="00FB7752" w:rsidP="00106572">
            <w:pPr>
              <w:spacing w:after="0" w:line="240" w:lineRule="auto"/>
              <w:rPr>
                <w:rFonts w:eastAsia="Times New Roman"/>
                <w:i/>
                <w:iCs/>
                <w:color w:val="000000"/>
                <w:sz w:val="24"/>
                <w:szCs w:val="24"/>
                <w:lang w:val="en-CA"/>
              </w:rPr>
            </w:pPr>
            <w:r w:rsidRPr="00BA078A">
              <w:rPr>
                <w:rFonts w:eastAsia="Times New Roman"/>
                <w:i/>
                <w:iCs/>
                <w:color w:val="000000"/>
                <w:sz w:val="24"/>
                <w:szCs w:val="24"/>
                <w:lang w:val="en-CA"/>
              </w:rPr>
              <w:t>Cash flow from assets</w:t>
            </w:r>
          </w:p>
        </w:tc>
        <w:tc>
          <w:tcPr>
            <w:tcW w:w="1360" w:type="dxa"/>
            <w:tcBorders>
              <w:top w:val="nil"/>
              <w:left w:val="nil"/>
              <w:bottom w:val="nil"/>
              <w:right w:val="nil"/>
            </w:tcBorders>
            <w:shd w:val="clear" w:color="auto" w:fill="auto"/>
            <w:noWrap/>
            <w:vAlign w:val="bottom"/>
            <w:hideMark/>
          </w:tcPr>
          <w:p w14:paraId="75FE24C4" w14:textId="77777777" w:rsidR="00FB7752" w:rsidRPr="00BA078A" w:rsidRDefault="00FB7752" w:rsidP="00106572">
            <w:pPr>
              <w:spacing w:after="0" w:line="240" w:lineRule="auto"/>
              <w:rPr>
                <w:rFonts w:eastAsia="Times New Roman"/>
                <w:color w:val="000000"/>
                <w:sz w:val="24"/>
                <w:szCs w:val="24"/>
                <w:lang w:val="en-CA"/>
              </w:rPr>
            </w:pPr>
          </w:p>
        </w:tc>
      </w:tr>
      <w:tr w:rsidR="00FB7752" w:rsidRPr="00BA078A" w14:paraId="1E0FA013" w14:textId="77777777" w:rsidTr="00106572">
        <w:trPr>
          <w:trHeight w:val="300"/>
        </w:trPr>
        <w:tc>
          <w:tcPr>
            <w:tcW w:w="2640" w:type="dxa"/>
            <w:tcBorders>
              <w:top w:val="nil"/>
              <w:left w:val="nil"/>
              <w:bottom w:val="nil"/>
              <w:right w:val="nil"/>
            </w:tcBorders>
            <w:shd w:val="clear" w:color="auto" w:fill="auto"/>
            <w:vAlign w:val="center"/>
            <w:hideMark/>
          </w:tcPr>
          <w:p w14:paraId="66235E3B" w14:textId="77777777" w:rsidR="00FB7752" w:rsidRPr="00BA078A" w:rsidRDefault="00FB7752" w:rsidP="00106572">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Operating cash flow</w:t>
            </w:r>
          </w:p>
        </w:tc>
        <w:tc>
          <w:tcPr>
            <w:tcW w:w="1360" w:type="dxa"/>
            <w:tcBorders>
              <w:top w:val="nil"/>
              <w:left w:val="nil"/>
              <w:bottom w:val="nil"/>
              <w:right w:val="nil"/>
            </w:tcBorders>
            <w:shd w:val="clear" w:color="auto" w:fill="auto"/>
            <w:vAlign w:val="center"/>
            <w:hideMark/>
          </w:tcPr>
          <w:p w14:paraId="75E2EF9F" w14:textId="77777777" w:rsidR="00FB7752" w:rsidRPr="00BA078A" w:rsidRDefault="00FB7752" w:rsidP="00106572">
            <w:pPr>
              <w:spacing w:after="0" w:line="240" w:lineRule="auto"/>
              <w:jc w:val="center"/>
              <w:rPr>
                <w:rFonts w:ascii="Times New Roman" w:eastAsia="Times New Roman" w:hAnsi="Times New Roman"/>
                <w:color w:val="000000"/>
                <w:lang w:val="en-CA"/>
              </w:rPr>
            </w:pPr>
            <w:r w:rsidRPr="00BA078A">
              <w:rPr>
                <w:rFonts w:ascii="Times New Roman" w:eastAsia="Times New Roman" w:hAnsi="Times New Roman"/>
                <w:color w:val="000000"/>
                <w:lang w:val="en-CA"/>
              </w:rPr>
              <w:t>$127,052.40</w:t>
            </w:r>
          </w:p>
        </w:tc>
      </w:tr>
      <w:tr w:rsidR="00FB7752" w:rsidRPr="00BA078A" w14:paraId="175B0DAA" w14:textId="77777777" w:rsidTr="00106572">
        <w:trPr>
          <w:trHeight w:val="300"/>
        </w:trPr>
        <w:tc>
          <w:tcPr>
            <w:tcW w:w="2640" w:type="dxa"/>
            <w:tcBorders>
              <w:top w:val="nil"/>
              <w:left w:val="nil"/>
              <w:bottom w:val="nil"/>
              <w:right w:val="nil"/>
            </w:tcBorders>
            <w:shd w:val="clear" w:color="auto" w:fill="auto"/>
            <w:vAlign w:val="center"/>
            <w:hideMark/>
          </w:tcPr>
          <w:p w14:paraId="587CAF60" w14:textId="77777777" w:rsidR="00FB7752" w:rsidRPr="00BA078A" w:rsidRDefault="00FB7752" w:rsidP="00106572">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Net capital spending</w:t>
            </w:r>
          </w:p>
        </w:tc>
        <w:tc>
          <w:tcPr>
            <w:tcW w:w="1360" w:type="dxa"/>
            <w:tcBorders>
              <w:top w:val="nil"/>
              <w:left w:val="nil"/>
              <w:bottom w:val="nil"/>
              <w:right w:val="nil"/>
            </w:tcBorders>
            <w:shd w:val="clear" w:color="auto" w:fill="auto"/>
            <w:vAlign w:val="center"/>
            <w:hideMark/>
          </w:tcPr>
          <w:p w14:paraId="4260D1BD" w14:textId="77777777" w:rsidR="00FB7752" w:rsidRPr="00BA078A" w:rsidRDefault="00FB7752" w:rsidP="00106572">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$96,839.00</w:t>
            </w:r>
          </w:p>
        </w:tc>
      </w:tr>
      <w:tr w:rsidR="00FB7752" w:rsidRPr="00BA078A" w14:paraId="72473B0F" w14:textId="77777777" w:rsidTr="00106572">
        <w:trPr>
          <w:trHeight w:val="500"/>
        </w:trPr>
        <w:tc>
          <w:tcPr>
            <w:tcW w:w="2640" w:type="dxa"/>
            <w:tcBorders>
              <w:top w:val="nil"/>
              <w:left w:val="nil"/>
              <w:bottom w:val="nil"/>
              <w:right w:val="nil"/>
            </w:tcBorders>
            <w:shd w:val="clear" w:color="auto" w:fill="auto"/>
            <w:vAlign w:val="center"/>
            <w:hideMark/>
          </w:tcPr>
          <w:p w14:paraId="1B27E99C" w14:textId="77777777" w:rsidR="00FB7752" w:rsidRPr="00BA078A" w:rsidRDefault="00FB7752" w:rsidP="00106572">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xml:space="preserve">– Change in NWC </w:t>
            </w:r>
          </w:p>
        </w:tc>
        <w:tc>
          <w:tcPr>
            <w:tcW w:w="1360" w:type="dxa"/>
            <w:tcBorders>
              <w:top w:val="nil"/>
              <w:left w:val="nil"/>
              <w:bottom w:val="single" w:sz="8" w:space="0" w:color="000000"/>
              <w:right w:val="nil"/>
            </w:tcBorders>
            <w:shd w:val="clear" w:color="auto" w:fill="auto"/>
            <w:vAlign w:val="center"/>
            <w:hideMark/>
          </w:tcPr>
          <w:p w14:paraId="6539B7A6" w14:textId="77777777" w:rsidR="00FB7752" w:rsidRPr="00BA078A" w:rsidRDefault="00FB7752" w:rsidP="00106572">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$20,894.00</w:t>
            </w:r>
          </w:p>
        </w:tc>
      </w:tr>
      <w:tr w:rsidR="00FB7752" w:rsidRPr="00BA078A" w14:paraId="4124CD36" w14:textId="77777777" w:rsidTr="00106572">
        <w:trPr>
          <w:trHeight w:val="500"/>
        </w:trPr>
        <w:tc>
          <w:tcPr>
            <w:tcW w:w="2640" w:type="dxa"/>
            <w:tcBorders>
              <w:top w:val="nil"/>
              <w:left w:val="nil"/>
              <w:bottom w:val="nil"/>
              <w:right w:val="nil"/>
            </w:tcBorders>
            <w:shd w:val="clear" w:color="auto" w:fill="auto"/>
            <w:vAlign w:val="center"/>
            <w:hideMark/>
          </w:tcPr>
          <w:p w14:paraId="31B1B3E6" w14:textId="77777777" w:rsidR="00FB7752" w:rsidRPr="00BA078A" w:rsidRDefault="00FB7752" w:rsidP="00106572">
            <w:pPr>
              <w:spacing w:after="0" w:line="240" w:lineRule="auto"/>
              <w:rPr>
                <w:rFonts w:ascii="Times New Roman" w:eastAsia="Times New Roman" w:hAnsi="Times New Roman"/>
                <w:color w:val="000000"/>
                <w:lang w:val="en-CA"/>
              </w:rPr>
            </w:pPr>
            <w:r w:rsidRPr="00BA078A">
              <w:rPr>
                <w:rFonts w:ascii="Times New Roman" w:eastAsia="Times New Roman" w:hAnsi="Times New Roman"/>
                <w:color w:val="000000"/>
                <w:lang w:val="en-CA"/>
              </w:rPr>
              <w:t xml:space="preserve">   Cash flow from assets </w:t>
            </w:r>
          </w:p>
        </w:tc>
        <w:tc>
          <w:tcPr>
            <w:tcW w:w="1360" w:type="dxa"/>
            <w:tcBorders>
              <w:top w:val="nil"/>
              <w:left w:val="nil"/>
              <w:bottom w:val="single" w:sz="8" w:space="0" w:color="000000"/>
              <w:right w:val="nil"/>
            </w:tcBorders>
            <w:shd w:val="clear" w:color="auto" w:fill="auto"/>
            <w:vAlign w:val="center"/>
            <w:hideMark/>
          </w:tcPr>
          <w:p w14:paraId="094F455E" w14:textId="77777777" w:rsidR="00FB7752" w:rsidRPr="00BA078A" w:rsidRDefault="00FB7752" w:rsidP="00106572">
            <w:pPr>
              <w:spacing w:after="0" w:line="240" w:lineRule="auto"/>
              <w:jc w:val="right"/>
              <w:rPr>
                <w:rFonts w:ascii="Times New Roman" w:eastAsia="Times New Roman" w:hAnsi="Times New Roman"/>
                <w:color w:val="000000"/>
                <w:lang w:val="en-CA"/>
              </w:rPr>
            </w:pPr>
            <w:r w:rsidRPr="00BA078A">
              <w:rPr>
                <w:rFonts w:ascii="Times New Roman" w:eastAsia="Times New Roman" w:hAnsi="Times New Roman"/>
                <w:color w:val="000000"/>
                <w:lang w:val="en-CA"/>
              </w:rPr>
              <w:t>$9,319.40</w:t>
            </w:r>
          </w:p>
        </w:tc>
      </w:tr>
    </w:tbl>
    <w:p w14:paraId="6875B214" w14:textId="77777777" w:rsidR="00FB7752" w:rsidRDefault="00FB7752" w:rsidP="007E18C1">
      <w:pPr>
        <w:autoSpaceDE w:val="0"/>
        <w:autoSpaceDN w:val="0"/>
        <w:adjustRightInd w:val="0"/>
        <w:spacing w:after="0" w:line="240" w:lineRule="auto"/>
        <w:ind w:left="450"/>
        <w:rPr>
          <w:rFonts w:ascii="Times New Roman" w:hAnsi="Times New Roman"/>
        </w:rPr>
      </w:pPr>
    </w:p>
    <w:p w14:paraId="063D89A1" w14:textId="77777777" w:rsidR="00FB7752" w:rsidRDefault="00FB7752" w:rsidP="007E18C1">
      <w:pPr>
        <w:autoSpaceDE w:val="0"/>
        <w:autoSpaceDN w:val="0"/>
        <w:adjustRightInd w:val="0"/>
        <w:spacing w:after="0" w:line="240" w:lineRule="auto"/>
        <w:ind w:left="450"/>
        <w:rPr>
          <w:rFonts w:ascii="Times New Roman" w:hAnsi="Times New Roman"/>
        </w:rPr>
      </w:pPr>
    </w:p>
    <w:p w14:paraId="01D5893C" w14:textId="77777777" w:rsidR="00FB7752" w:rsidRPr="00A64C8C" w:rsidRDefault="00FB7752" w:rsidP="007E18C1">
      <w:pPr>
        <w:autoSpaceDE w:val="0"/>
        <w:autoSpaceDN w:val="0"/>
        <w:adjustRightInd w:val="0"/>
        <w:spacing w:after="0" w:line="240" w:lineRule="auto"/>
        <w:ind w:left="450"/>
        <w:rPr>
          <w:rFonts w:ascii="Times New Roman" w:hAnsi="Times New Roman"/>
        </w:rPr>
      </w:pPr>
    </w:p>
    <w:p w14:paraId="2B55E68B" w14:textId="77777777" w:rsidR="003D111D" w:rsidRDefault="003D111D" w:rsidP="00B818C7">
      <w:pPr>
        <w:pStyle w:val="ListParagraph"/>
        <w:numPr>
          <w:ilvl w:val="0"/>
          <w:numId w:val="1"/>
        </w:numPr>
        <w:autoSpaceDE w:val="0"/>
        <w:autoSpaceDN w:val="0"/>
        <w:adjustRightInd w:val="0"/>
        <w:spacing w:after="0" w:line="240" w:lineRule="auto"/>
        <w:rPr>
          <w:rFonts w:ascii="Times New Roman" w:hAnsi="Times New Roman"/>
        </w:rPr>
      </w:pPr>
      <w:r w:rsidRPr="00B818C7">
        <w:rPr>
          <w:rFonts w:ascii="Times New Roman" w:hAnsi="Times New Roman"/>
        </w:rPr>
        <w:t>The cash flow to creditors was:</w:t>
      </w:r>
    </w:p>
    <w:p w14:paraId="29F6B47C" w14:textId="77777777" w:rsidR="004246B4" w:rsidRDefault="004246B4" w:rsidP="00417662">
      <w:pPr>
        <w:autoSpaceDE w:val="0"/>
        <w:autoSpaceDN w:val="0"/>
        <w:adjustRightInd w:val="0"/>
        <w:spacing w:after="0" w:line="240" w:lineRule="auto"/>
        <w:rPr>
          <w:rFonts w:ascii="Times New Roman" w:hAnsi="Times New Roman"/>
        </w:rPr>
      </w:pPr>
    </w:p>
    <w:p w14:paraId="3426848A" w14:textId="44B76DCF" w:rsidR="004246B4" w:rsidRPr="00417662" w:rsidRDefault="004246B4" w:rsidP="00417662">
      <w:pPr>
        <w:autoSpaceDE w:val="0"/>
        <w:autoSpaceDN w:val="0"/>
        <w:adjustRightInd w:val="0"/>
        <w:spacing w:after="0" w:line="240" w:lineRule="auto"/>
        <w:rPr>
          <w:rFonts w:ascii="Times New Roman" w:hAnsi="Times New Roman"/>
          <w:i/>
        </w:rPr>
      </w:pPr>
      <w:r w:rsidRPr="00417662">
        <w:rPr>
          <w:rFonts w:ascii="Times New Roman" w:hAnsi="Times New Roman"/>
          <w:i/>
        </w:rPr>
        <w:t>Cash flow to creditors</w:t>
      </w:r>
    </w:p>
    <w:tbl>
      <w:tblPr>
        <w:tblW w:w="4000" w:type="dxa"/>
        <w:tblInd w:w="-72" w:type="dxa"/>
        <w:tblLook w:val="04A0" w:firstRow="1" w:lastRow="0" w:firstColumn="1" w:lastColumn="0" w:noHBand="0" w:noVBand="1"/>
      </w:tblPr>
      <w:tblGrid>
        <w:gridCol w:w="2640"/>
        <w:gridCol w:w="1360"/>
      </w:tblGrid>
      <w:tr w:rsidR="004246B4" w:rsidRPr="004246B4" w14:paraId="60E64E9D" w14:textId="77777777" w:rsidTr="004246B4">
        <w:trPr>
          <w:trHeight w:val="300"/>
        </w:trPr>
        <w:tc>
          <w:tcPr>
            <w:tcW w:w="2640" w:type="dxa"/>
            <w:tcBorders>
              <w:top w:val="nil"/>
              <w:left w:val="nil"/>
              <w:bottom w:val="nil"/>
              <w:right w:val="nil"/>
            </w:tcBorders>
            <w:shd w:val="clear" w:color="auto" w:fill="auto"/>
            <w:vAlign w:val="center"/>
            <w:hideMark/>
          </w:tcPr>
          <w:p w14:paraId="7ACC6B69" w14:textId="77777777" w:rsidR="004246B4" w:rsidRPr="004246B4" w:rsidRDefault="004246B4" w:rsidP="004246B4">
            <w:pPr>
              <w:spacing w:after="0" w:line="240" w:lineRule="auto"/>
              <w:ind w:firstLineChars="100" w:firstLine="200"/>
              <w:rPr>
                <w:rFonts w:ascii="Times New Roman" w:eastAsia="Times New Roman" w:hAnsi="Times New Roman"/>
                <w:color w:val="000000"/>
                <w:lang w:val="en-CA"/>
              </w:rPr>
            </w:pPr>
            <w:r w:rsidRPr="004246B4">
              <w:rPr>
                <w:rFonts w:ascii="Times New Roman" w:eastAsia="Times New Roman" w:hAnsi="Times New Roman"/>
                <w:color w:val="000000"/>
                <w:lang w:val="en-CA"/>
              </w:rPr>
              <w:lastRenderedPageBreak/>
              <w:t>Interest paid</w:t>
            </w:r>
          </w:p>
        </w:tc>
        <w:tc>
          <w:tcPr>
            <w:tcW w:w="1360" w:type="dxa"/>
            <w:tcBorders>
              <w:top w:val="nil"/>
              <w:left w:val="nil"/>
              <w:bottom w:val="nil"/>
              <w:right w:val="nil"/>
            </w:tcBorders>
            <w:shd w:val="clear" w:color="auto" w:fill="auto"/>
            <w:vAlign w:val="center"/>
            <w:hideMark/>
          </w:tcPr>
          <w:p w14:paraId="0F418DB7" w14:textId="77777777" w:rsidR="004246B4" w:rsidRPr="004246B4" w:rsidRDefault="004246B4" w:rsidP="004246B4">
            <w:pPr>
              <w:spacing w:after="0" w:line="240" w:lineRule="auto"/>
              <w:jc w:val="right"/>
              <w:rPr>
                <w:rFonts w:ascii="Times New Roman" w:eastAsia="Times New Roman" w:hAnsi="Times New Roman"/>
                <w:color w:val="000000"/>
                <w:lang w:val="en-CA"/>
              </w:rPr>
            </w:pPr>
            <w:r w:rsidRPr="004246B4">
              <w:rPr>
                <w:rFonts w:ascii="Times New Roman" w:eastAsia="Times New Roman" w:hAnsi="Times New Roman"/>
                <w:color w:val="000000"/>
                <w:lang w:val="en-CA"/>
              </w:rPr>
              <w:t>$11,526.00</w:t>
            </w:r>
          </w:p>
        </w:tc>
      </w:tr>
      <w:tr w:rsidR="004246B4" w:rsidRPr="004246B4" w14:paraId="36F8247B" w14:textId="77777777" w:rsidTr="004246B4">
        <w:trPr>
          <w:trHeight w:val="320"/>
        </w:trPr>
        <w:tc>
          <w:tcPr>
            <w:tcW w:w="2640" w:type="dxa"/>
            <w:tcBorders>
              <w:top w:val="nil"/>
              <w:left w:val="nil"/>
              <w:bottom w:val="nil"/>
              <w:right w:val="nil"/>
            </w:tcBorders>
            <w:shd w:val="clear" w:color="auto" w:fill="auto"/>
            <w:vAlign w:val="center"/>
            <w:hideMark/>
          </w:tcPr>
          <w:p w14:paraId="7E62D285" w14:textId="77777777" w:rsidR="004246B4" w:rsidRPr="004246B4" w:rsidRDefault="004246B4" w:rsidP="004246B4">
            <w:pPr>
              <w:spacing w:after="0" w:line="240" w:lineRule="auto"/>
              <w:ind w:firstLineChars="100" w:firstLine="200"/>
              <w:rPr>
                <w:rFonts w:ascii="Times New Roman" w:eastAsia="Times New Roman" w:hAnsi="Times New Roman"/>
                <w:color w:val="000000"/>
                <w:lang w:val="en-CA"/>
              </w:rPr>
            </w:pPr>
            <w:r w:rsidRPr="004246B4">
              <w:rPr>
                <w:rFonts w:ascii="Times New Roman" w:eastAsia="Times New Roman" w:hAnsi="Times New Roman"/>
                <w:color w:val="000000"/>
                <w:lang w:val="en-CA"/>
              </w:rPr>
              <w:t>– Net new borrowing</w:t>
            </w:r>
          </w:p>
        </w:tc>
        <w:tc>
          <w:tcPr>
            <w:tcW w:w="1360" w:type="dxa"/>
            <w:tcBorders>
              <w:top w:val="nil"/>
              <w:left w:val="nil"/>
              <w:bottom w:val="single" w:sz="8" w:space="0" w:color="auto"/>
              <w:right w:val="nil"/>
            </w:tcBorders>
            <w:shd w:val="clear" w:color="auto" w:fill="auto"/>
            <w:vAlign w:val="center"/>
            <w:hideMark/>
          </w:tcPr>
          <w:p w14:paraId="30333154" w14:textId="77777777" w:rsidR="004246B4" w:rsidRPr="004246B4" w:rsidRDefault="004246B4" w:rsidP="004246B4">
            <w:pPr>
              <w:spacing w:after="0" w:line="240" w:lineRule="auto"/>
              <w:jc w:val="right"/>
              <w:rPr>
                <w:rFonts w:ascii="Times New Roman" w:eastAsia="Times New Roman" w:hAnsi="Times New Roman"/>
                <w:color w:val="000000"/>
                <w:lang w:val="en-CA"/>
              </w:rPr>
            </w:pPr>
            <w:r w:rsidRPr="004246B4">
              <w:rPr>
                <w:rFonts w:ascii="Times New Roman" w:eastAsia="Times New Roman" w:hAnsi="Times New Roman"/>
                <w:color w:val="000000"/>
                <w:lang w:val="en-CA"/>
              </w:rPr>
              <w:t>$13,328.00</w:t>
            </w:r>
          </w:p>
        </w:tc>
      </w:tr>
      <w:tr w:rsidR="004246B4" w:rsidRPr="004246B4" w14:paraId="67FE830F" w14:textId="77777777" w:rsidTr="004246B4">
        <w:trPr>
          <w:trHeight w:val="320"/>
        </w:trPr>
        <w:tc>
          <w:tcPr>
            <w:tcW w:w="2640" w:type="dxa"/>
            <w:tcBorders>
              <w:top w:val="nil"/>
              <w:left w:val="nil"/>
              <w:bottom w:val="nil"/>
              <w:right w:val="nil"/>
            </w:tcBorders>
            <w:shd w:val="clear" w:color="auto" w:fill="auto"/>
            <w:vAlign w:val="center"/>
            <w:hideMark/>
          </w:tcPr>
          <w:p w14:paraId="689C48AA" w14:textId="77777777" w:rsidR="004246B4" w:rsidRPr="004246B4" w:rsidRDefault="004246B4" w:rsidP="004246B4">
            <w:pPr>
              <w:spacing w:after="0" w:line="240" w:lineRule="auto"/>
              <w:ind w:firstLineChars="100" w:firstLine="200"/>
              <w:rPr>
                <w:rFonts w:ascii="Times New Roman" w:eastAsia="Times New Roman" w:hAnsi="Times New Roman"/>
                <w:color w:val="000000"/>
                <w:lang w:val="en-CA"/>
              </w:rPr>
            </w:pPr>
            <w:r w:rsidRPr="004246B4">
              <w:rPr>
                <w:rFonts w:ascii="Times New Roman" w:eastAsia="Times New Roman" w:hAnsi="Times New Roman"/>
                <w:color w:val="000000"/>
                <w:lang w:val="en-CA"/>
              </w:rPr>
              <w:t xml:space="preserve">   Cash flow to creditors</w:t>
            </w:r>
          </w:p>
        </w:tc>
        <w:tc>
          <w:tcPr>
            <w:tcW w:w="1360" w:type="dxa"/>
            <w:tcBorders>
              <w:top w:val="nil"/>
              <w:left w:val="nil"/>
              <w:bottom w:val="single" w:sz="8" w:space="0" w:color="000000"/>
              <w:right w:val="nil"/>
            </w:tcBorders>
            <w:shd w:val="clear" w:color="auto" w:fill="auto"/>
            <w:vAlign w:val="center"/>
            <w:hideMark/>
          </w:tcPr>
          <w:p w14:paraId="4E9C949F" w14:textId="77777777" w:rsidR="004246B4" w:rsidRPr="004246B4" w:rsidRDefault="004246B4" w:rsidP="004246B4">
            <w:pPr>
              <w:spacing w:after="0" w:line="240" w:lineRule="auto"/>
              <w:jc w:val="right"/>
              <w:rPr>
                <w:rFonts w:ascii="Times New Roman" w:eastAsia="Times New Roman" w:hAnsi="Times New Roman"/>
                <w:color w:val="000000"/>
                <w:lang w:val="en-CA"/>
              </w:rPr>
            </w:pPr>
            <w:r w:rsidRPr="004246B4">
              <w:rPr>
                <w:rFonts w:ascii="Times New Roman" w:eastAsia="Times New Roman" w:hAnsi="Times New Roman"/>
                <w:color w:val="DD0806"/>
                <w:lang w:val="en-CA"/>
              </w:rPr>
              <w:t>-$1,802.00</w:t>
            </w:r>
          </w:p>
        </w:tc>
      </w:tr>
    </w:tbl>
    <w:p w14:paraId="12C0EF2C" w14:textId="77777777" w:rsidR="004246B4" w:rsidRDefault="004246B4" w:rsidP="007E18C1">
      <w:pPr>
        <w:autoSpaceDE w:val="0"/>
        <w:autoSpaceDN w:val="0"/>
        <w:adjustRightInd w:val="0"/>
        <w:spacing w:after="0" w:line="240" w:lineRule="auto"/>
        <w:ind w:left="450"/>
        <w:rPr>
          <w:rFonts w:ascii="Times New Roman" w:hAnsi="Times New Roman"/>
        </w:rPr>
      </w:pPr>
    </w:p>
    <w:p w14:paraId="7DF148DF" w14:textId="6FA8329C" w:rsidR="003D111D" w:rsidRDefault="003D111D" w:rsidP="00417662">
      <w:pPr>
        <w:tabs>
          <w:tab w:val="decimal" w:pos="-720"/>
        </w:tabs>
        <w:autoSpaceDE w:val="0"/>
        <w:autoSpaceDN w:val="0"/>
        <w:adjustRightInd w:val="0"/>
        <w:spacing w:after="0" w:line="240" w:lineRule="auto"/>
        <w:rPr>
          <w:rFonts w:ascii="Times New Roman" w:hAnsi="Times New Roman"/>
          <w:iCs/>
        </w:rPr>
      </w:pPr>
    </w:p>
    <w:tbl>
      <w:tblPr>
        <w:tblW w:w="4000" w:type="dxa"/>
        <w:tblLayout w:type="fixed"/>
        <w:tblLook w:val="04A0" w:firstRow="1" w:lastRow="0" w:firstColumn="1" w:lastColumn="0" w:noHBand="0" w:noVBand="1"/>
      </w:tblPr>
      <w:tblGrid>
        <w:gridCol w:w="2640"/>
        <w:gridCol w:w="1360"/>
      </w:tblGrid>
      <w:tr w:rsidR="004246B4" w:rsidRPr="004246B4" w14:paraId="00E85C38" w14:textId="77777777" w:rsidTr="00D26ECD">
        <w:trPr>
          <w:trHeight w:val="320"/>
        </w:trPr>
        <w:tc>
          <w:tcPr>
            <w:tcW w:w="2640" w:type="dxa"/>
            <w:tcBorders>
              <w:top w:val="nil"/>
              <w:left w:val="nil"/>
              <w:bottom w:val="nil"/>
              <w:right w:val="nil"/>
            </w:tcBorders>
            <w:shd w:val="clear" w:color="auto" w:fill="auto"/>
            <w:vAlign w:val="center"/>
          </w:tcPr>
          <w:p w14:paraId="0CE5333A" w14:textId="223D0D89" w:rsidR="004246B4" w:rsidRPr="004246B4" w:rsidRDefault="004246B4" w:rsidP="004246B4">
            <w:pPr>
              <w:spacing w:after="0" w:line="240" w:lineRule="auto"/>
              <w:rPr>
                <w:rFonts w:ascii="Times New Roman" w:eastAsia="Times New Roman" w:hAnsi="Times New Roman"/>
                <w:i/>
                <w:iCs/>
                <w:color w:val="000000"/>
                <w:lang w:val="en-CA"/>
              </w:rPr>
            </w:pPr>
          </w:p>
        </w:tc>
        <w:tc>
          <w:tcPr>
            <w:tcW w:w="1360" w:type="dxa"/>
            <w:tcBorders>
              <w:top w:val="nil"/>
              <w:left w:val="nil"/>
              <w:bottom w:val="nil"/>
              <w:right w:val="nil"/>
            </w:tcBorders>
            <w:shd w:val="clear" w:color="auto" w:fill="auto"/>
            <w:noWrap/>
            <w:vAlign w:val="bottom"/>
          </w:tcPr>
          <w:p w14:paraId="4FEAE1E1" w14:textId="77777777" w:rsidR="004246B4" w:rsidRPr="004246B4" w:rsidRDefault="004246B4" w:rsidP="004246B4">
            <w:pPr>
              <w:spacing w:after="0" w:line="240" w:lineRule="auto"/>
              <w:jc w:val="right"/>
              <w:rPr>
                <w:rFonts w:eastAsia="Times New Roman"/>
                <w:color w:val="000000"/>
                <w:sz w:val="24"/>
                <w:szCs w:val="24"/>
                <w:lang w:val="en-CA"/>
              </w:rPr>
            </w:pPr>
          </w:p>
        </w:tc>
      </w:tr>
      <w:tr w:rsidR="004246B4" w:rsidRPr="004246B4" w14:paraId="64577502" w14:textId="77777777" w:rsidTr="00D26ECD">
        <w:trPr>
          <w:trHeight w:val="300"/>
        </w:trPr>
        <w:tc>
          <w:tcPr>
            <w:tcW w:w="2640" w:type="dxa"/>
            <w:tcBorders>
              <w:top w:val="nil"/>
              <w:left w:val="nil"/>
              <w:bottom w:val="nil"/>
              <w:right w:val="nil"/>
            </w:tcBorders>
            <w:shd w:val="clear" w:color="auto" w:fill="auto"/>
            <w:vAlign w:val="center"/>
          </w:tcPr>
          <w:p w14:paraId="6D267DE6" w14:textId="1B3D1059" w:rsidR="004246B4" w:rsidRPr="004246B4" w:rsidRDefault="004246B4" w:rsidP="004246B4">
            <w:pPr>
              <w:spacing w:after="0" w:line="240" w:lineRule="auto"/>
              <w:ind w:firstLineChars="100" w:firstLine="200"/>
              <w:rPr>
                <w:rFonts w:ascii="Times New Roman" w:eastAsia="Times New Roman" w:hAnsi="Times New Roman"/>
                <w:color w:val="000000"/>
                <w:lang w:val="en-CA"/>
              </w:rPr>
            </w:pPr>
          </w:p>
        </w:tc>
        <w:tc>
          <w:tcPr>
            <w:tcW w:w="1360" w:type="dxa"/>
            <w:tcBorders>
              <w:top w:val="nil"/>
              <w:left w:val="nil"/>
              <w:bottom w:val="nil"/>
              <w:right w:val="nil"/>
            </w:tcBorders>
            <w:shd w:val="clear" w:color="auto" w:fill="auto"/>
            <w:vAlign w:val="center"/>
          </w:tcPr>
          <w:p w14:paraId="78B8CB2D" w14:textId="10A8D611" w:rsidR="004246B4" w:rsidRPr="004246B4" w:rsidRDefault="004246B4" w:rsidP="004246B4">
            <w:pPr>
              <w:spacing w:after="0" w:line="240" w:lineRule="auto"/>
              <w:jc w:val="right"/>
              <w:rPr>
                <w:rFonts w:ascii="Times New Roman" w:eastAsia="Times New Roman" w:hAnsi="Times New Roman"/>
                <w:color w:val="000000"/>
                <w:lang w:val="en-CA"/>
              </w:rPr>
            </w:pPr>
          </w:p>
        </w:tc>
      </w:tr>
      <w:tr w:rsidR="004246B4" w:rsidRPr="004246B4" w14:paraId="337A8A21" w14:textId="77777777" w:rsidTr="00D26ECD">
        <w:trPr>
          <w:trHeight w:val="320"/>
        </w:trPr>
        <w:tc>
          <w:tcPr>
            <w:tcW w:w="2640" w:type="dxa"/>
            <w:tcBorders>
              <w:top w:val="nil"/>
              <w:left w:val="nil"/>
              <w:bottom w:val="nil"/>
              <w:right w:val="nil"/>
            </w:tcBorders>
            <w:shd w:val="clear" w:color="auto" w:fill="auto"/>
            <w:vAlign w:val="center"/>
          </w:tcPr>
          <w:p w14:paraId="0A30AAB7" w14:textId="3828F257" w:rsidR="004246B4" w:rsidRPr="004246B4" w:rsidRDefault="004246B4" w:rsidP="004246B4">
            <w:pPr>
              <w:spacing w:after="0" w:line="240" w:lineRule="auto"/>
              <w:ind w:firstLineChars="100" w:firstLine="200"/>
              <w:rPr>
                <w:rFonts w:ascii="Times New Roman" w:eastAsia="Times New Roman" w:hAnsi="Times New Roman"/>
                <w:color w:val="000000"/>
                <w:lang w:val="en-CA"/>
              </w:rPr>
            </w:pPr>
          </w:p>
        </w:tc>
        <w:tc>
          <w:tcPr>
            <w:tcW w:w="1360" w:type="dxa"/>
            <w:tcBorders>
              <w:top w:val="nil"/>
              <w:left w:val="nil"/>
              <w:bottom w:val="single" w:sz="8" w:space="0" w:color="auto"/>
              <w:right w:val="nil"/>
            </w:tcBorders>
            <w:shd w:val="clear" w:color="auto" w:fill="auto"/>
            <w:vAlign w:val="center"/>
          </w:tcPr>
          <w:p w14:paraId="0811F1EB" w14:textId="15E5B4DF" w:rsidR="004246B4" w:rsidRPr="004246B4" w:rsidRDefault="004246B4" w:rsidP="004246B4">
            <w:pPr>
              <w:spacing w:after="0" w:line="240" w:lineRule="auto"/>
              <w:jc w:val="right"/>
              <w:rPr>
                <w:rFonts w:ascii="Times New Roman" w:eastAsia="Times New Roman" w:hAnsi="Times New Roman"/>
                <w:color w:val="000000"/>
                <w:lang w:val="en-CA"/>
              </w:rPr>
            </w:pPr>
          </w:p>
        </w:tc>
      </w:tr>
      <w:tr w:rsidR="004246B4" w:rsidRPr="004246B4" w14:paraId="1DCA8C64" w14:textId="77777777" w:rsidTr="00D26ECD">
        <w:trPr>
          <w:trHeight w:val="320"/>
        </w:trPr>
        <w:tc>
          <w:tcPr>
            <w:tcW w:w="2640" w:type="dxa"/>
            <w:tcBorders>
              <w:top w:val="nil"/>
              <w:left w:val="nil"/>
              <w:bottom w:val="nil"/>
              <w:right w:val="nil"/>
            </w:tcBorders>
            <w:shd w:val="clear" w:color="auto" w:fill="auto"/>
            <w:vAlign w:val="center"/>
          </w:tcPr>
          <w:p w14:paraId="7F11F1F2" w14:textId="28588A82" w:rsidR="004246B4" w:rsidRPr="004246B4" w:rsidRDefault="004246B4" w:rsidP="004246B4">
            <w:pPr>
              <w:spacing w:after="0" w:line="240" w:lineRule="auto"/>
              <w:ind w:firstLineChars="100" w:firstLine="200"/>
              <w:rPr>
                <w:rFonts w:ascii="Times New Roman" w:eastAsia="Times New Roman" w:hAnsi="Times New Roman"/>
                <w:color w:val="000000"/>
                <w:lang w:val="en-CA"/>
              </w:rPr>
            </w:pPr>
          </w:p>
        </w:tc>
        <w:tc>
          <w:tcPr>
            <w:tcW w:w="1360" w:type="dxa"/>
            <w:tcBorders>
              <w:top w:val="nil"/>
              <w:left w:val="nil"/>
              <w:bottom w:val="single" w:sz="8" w:space="0" w:color="000000"/>
              <w:right w:val="nil"/>
            </w:tcBorders>
            <w:shd w:val="clear" w:color="auto" w:fill="auto"/>
            <w:vAlign w:val="center"/>
          </w:tcPr>
          <w:p w14:paraId="6E7BC892" w14:textId="67C6593E" w:rsidR="004246B4" w:rsidRPr="004246B4" w:rsidRDefault="004246B4" w:rsidP="004246B4">
            <w:pPr>
              <w:spacing w:after="0" w:line="240" w:lineRule="auto"/>
              <w:jc w:val="right"/>
              <w:rPr>
                <w:rFonts w:ascii="Times New Roman" w:eastAsia="Times New Roman" w:hAnsi="Times New Roman"/>
                <w:color w:val="000000"/>
                <w:lang w:val="en-CA"/>
              </w:rPr>
            </w:pPr>
          </w:p>
        </w:tc>
      </w:tr>
    </w:tbl>
    <w:p w14:paraId="3EEF62DB" w14:textId="77777777" w:rsidR="003D111D" w:rsidRDefault="003D111D" w:rsidP="007E18C1">
      <w:pPr>
        <w:tabs>
          <w:tab w:val="decimal" w:pos="-720"/>
        </w:tabs>
        <w:autoSpaceDE w:val="0"/>
        <w:autoSpaceDN w:val="0"/>
        <w:adjustRightInd w:val="0"/>
        <w:spacing w:after="0" w:line="240" w:lineRule="auto"/>
        <w:ind w:left="450"/>
        <w:rPr>
          <w:rFonts w:ascii="Times New Roman" w:hAnsi="Times New Roman"/>
          <w:iCs/>
        </w:rPr>
      </w:pPr>
    </w:p>
    <w:p w14:paraId="2351233C" w14:textId="77777777" w:rsidR="004246B4" w:rsidRPr="007E18C1" w:rsidRDefault="004246B4" w:rsidP="007E18C1">
      <w:pPr>
        <w:tabs>
          <w:tab w:val="decimal" w:pos="-720"/>
        </w:tabs>
        <w:autoSpaceDE w:val="0"/>
        <w:autoSpaceDN w:val="0"/>
        <w:adjustRightInd w:val="0"/>
        <w:spacing w:after="0" w:line="240" w:lineRule="auto"/>
        <w:ind w:left="450"/>
        <w:rPr>
          <w:rFonts w:ascii="Times New Roman" w:hAnsi="Times New Roman"/>
          <w:iCs/>
        </w:rPr>
      </w:pPr>
    </w:p>
    <w:p w14:paraId="00B04540" w14:textId="77777777" w:rsidR="003D111D" w:rsidRDefault="003D111D" w:rsidP="00B818C7">
      <w:pPr>
        <w:pStyle w:val="ListParagraph"/>
        <w:numPr>
          <w:ilvl w:val="0"/>
          <w:numId w:val="1"/>
        </w:numPr>
        <w:autoSpaceDE w:val="0"/>
        <w:autoSpaceDN w:val="0"/>
        <w:adjustRightInd w:val="0"/>
        <w:spacing w:after="0" w:line="240" w:lineRule="auto"/>
        <w:rPr>
          <w:rFonts w:ascii="Times New Roman" w:hAnsi="Times New Roman"/>
        </w:rPr>
      </w:pPr>
      <w:r w:rsidRPr="00B818C7">
        <w:rPr>
          <w:rFonts w:ascii="Times New Roman" w:hAnsi="Times New Roman"/>
        </w:rPr>
        <w:t>The cash flow to stockholders was:</w:t>
      </w:r>
    </w:p>
    <w:p w14:paraId="055D6BFD" w14:textId="77777777" w:rsidR="003D111D" w:rsidRDefault="003D111D" w:rsidP="007E18C1">
      <w:pPr>
        <w:autoSpaceDE w:val="0"/>
        <w:autoSpaceDN w:val="0"/>
        <w:adjustRightInd w:val="0"/>
        <w:spacing w:after="0" w:line="240" w:lineRule="auto"/>
        <w:ind w:left="360"/>
        <w:rPr>
          <w:rFonts w:ascii="Times New Roman" w:hAnsi="Times New Roman"/>
        </w:rPr>
      </w:pPr>
    </w:p>
    <w:p w14:paraId="6BC54821" w14:textId="77777777" w:rsidR="00807BE1" w:rsidRDefault="00807BE1" w:rsidP="007E18C1">
      <w:pPr>
        <w:autoSpaceDE w:val="0"/>
        <w:autoSpaceDN w:val="0"/>
        <w:adjustRightInd w:val="0"/>
        <w:spacing w:after="0" w:line="240" w:lineRule="auto"/>
        <w:ind w:left="360"/>
        <w:rPr>
          <w:rFonts w:ascii="Times New Roman" w:hAnsi="Times New Roman"/>
        </w:rPr>
      </w:pPr>
    </w:p>
    <w:tbl>
      <w:tblPr>
        <w:tblW w:w="4000" w:type="dxa"/>
        <w:tblInd w:w="93" w:type="dxa"/>
        <w:tblLook w:val="04A0" w:firstRow="1" w:lastRow="0" w:firstColumn="1" w:lastColumn="0" w:noHBand="0" w:noVBand="1"/>
      </w:tblPr>
      <w:tblGrid>
        <w:gridCol w:w="2640"/>
        <w:gridCol w:w="1360"/>
      </w:tblGrid>
      <w:tr w:rsidR="00807BE1" w:rsidRPr="00807BE1" w14:paraId="1D2A61D1" w14:textId="77777777" w:rsidTr="00807BE1">
        <w:trPr>
          <w:trHeight w:val="300"/>
        </w:trPr>
        <w:tc>
          <w:tcPr>
            <w:tcW w:w="2640" w:type="dxa"/>
            <w:tcBorders>
              <w:top w:val="nil"/>
              <w:left w:val="nil"/>
              <w:bottom w:val="nil"/>
              <w:right w:val="nil"/>
            </w:tcBorders>
            <w:shd w:val="clear" w:color="auto" w:fill="auto"/>
            <w:vAlign w:val="center"/>
            <w:hideMark/>
          </w:tcPr>
          <w:p w14:paraId="7ECC173D" w14:textId="77777777" w:rsidR="00807BE1" w:rsidRPr="00807BE1" w:rsidRDefault="00807BE1" w:rsidP="00807BE1">
            <w:pPr>
              <w:spacing w:after="0" w:line="240" w:lineRule="auto"/>
              <w:rPr>
                <w:rFonts w:ascii="Times New Roman" w:eastAsia="Times New Roman" w:hAnsi="Times New Roman"/>
                <w:i/>
                <w:iCs/>
                <w:color w:val="000000"/>
                <w:lang w:val="en-CA"/>
              </w:rPr>
            </w:pPr>
            <w:r w:rsidRPr="00807BE1">
              <w:rPr>
                <w:rFonts w:ascii="Times New Roman" w:eastAsia="Times New Roman" w:hAnsi="Times New Roman"/>
                <w:i/>
                <w:iCs/>
                <w:color w:val="000000"/>
                <w:lang w:val="en-CA"/>
              </w:rPr>
              <w:t>Cash flow to stockholders</w:t>
            </w:r>
          </w:p>
        </w:tc>
        <w:tc>
          <w:tcPr>
            <w:tcW w:w="1360" w:type="dxa"/>
            <w:tcBorders>
              <w:top w:val="nil"/>
              <w:left w:val="nil"/>
              <w:bottom w:val="nil"/>
              <w:right w:val="nil"/>
            </w:tcBorders>
            <w:shd w:val="clear" w:color="auto" w:fill="auto"/>
            <w:noWrap/>
            <w:vAlign w:val="bottom"/>
            <w:hideMark/>
          </w:tcPr>
          <w:p w14:paraId="76A46E5A" w14:textId="77777777" w:rsidR="00807BE1" w:rsidRPr="00807BE1" w:rsidRDefault="00807BE1" w:rsidP="00807BE1">
            <w:pPr>
              <w:spacing w:after="0" w:line="240" w:lineRule="auto"/>
              <w:jc w:val="right"/>
              <w:rPr>
                <w:rFonts w:eastAsia="Times New Roman"/>
                <w:color w:val="000000"/>
                <w:sz w:val="24"/>
                <w:szCs w:val="24"/>
                <w:lang w:val="en-CA"/>
              </w:rPr>
            </w:pPr>
          </w:p>
        </w:tc>
      </w:tr>
      <w:tr w:rsidR="00807BE1" w:rsidRPr="00807BE1" w14:paraId="0BA625E8" w14:textId="77777777" w:rsidTr="00807BE1">
        <w:trPr>
          <w:trHeight w:val="300"/>
        </w:trPr>
        <w:tc>
          <w:tcPr>
            <w:tcW w:w="2640" w:type="dxa"/>
            <w:tcBorders>
              <w:top w:val="nil"/>
              <w:left w:val="nil"/>
              <w:bottom w:val="nil"/>
              <w:right w:val="nil"/>
            </w:tcBorders>
            <w:shd w:val="clear" w:color="auto" w:fill="auto"/>
            <w:vAlign w:val="center"/>
            <w:hideMark/>
          </w:tcPr>
          <w:p w14:paraId="7DF750C9" w14:textId="77777777" w:rsidR="00807BE1" w:rsidRPr="00807BE1" w:rsidRDefault="00807BE1" w:rsidP="00807BE1">
            <w:pPr>
              <w:spacing w:after="0" w:line="240" w:lineRule="auto"/>
              <w:ind w:firstLineChars="100" w:firstLine="200"/>
              <w:rPr>
                <w:rFonts w:ascii="Times New Roman" w:eastAsia="Times New Roman" w:hAnsi="Times New Roman"/>
                <w:color w:val="000000"/>
                <w:lang w:val="en-CA"/>
              </w:rPr>
            </w:pPr>
            <w:r w:rsidRPr="00807BE1">
              <w:rPr>
                <w:rFonts w:ascii="Times New Roman" w:eastAsia="Times New Roman" w:hAnsi="Times New Roman"/>
                <w:color w:val="000000"/>
                <w:lang w:val="en-CA"/>
              </w:rPr>
              <w:t>Dividends paid</w:t>
            </w:r>
          </w:p>
        </w:tc>
        <w:tc>
          <w:tcPr>
            <w:tcW w:w="1360" w:type="dxa"/>
            <w:tcBorders>
              <w:top w:val="nil"/>
              <w:left w:val="nil"/>
              <w:bottom w:val="nil"/>
              <w:right w:val="nil"/>
            </w:tcBorders>
            <w:shd w:val="clear" w:color="auto" w:fill="auto"/>
            <w:vAlign w:val="center"/>
            <w:hideMark/>
          </w:tcPr>
          <w:p w14:paraId="13E32243" w14:textId="77777777" w:rsidR="00807BE1" w:rsidRPr="00807BE1" w:rsidRDefault="00807BE1" w:rsidP="00807BE1">
            <w:pPr>
              <w:spacing w:after="0" w:line="240" w:lineRule="auto"/>
              <w:jc w:val="right"/>
              <w:rPr>
                <w:rFonts w:ascii="Times New Roman" w:eastAsia="Times New Roman" w:hAnsi="Times New Roman"/>
                <w:color w:val="000000"/>
                <w:lang w:val="en-CA"/>
              </w:rPr>
            </w:pPr>
            <w:r w:rsidRPr="00807BE1">
              <w:rPr>
                <w:rFonts w:ascii="Times New Roman" w:eastAsia="Times New Roman" w:hAnsi="Times New Roman"/>
                <w:color w:val="000000"/>
                <w:lang w:val="en-CA"/>
              </w:rPr>
              <w:t>$31,623.20</w:t>
            </w:r>
          </w:p>
        </w:tc>
      </w:tr>
      <w:tr w:rsidR="00807BE1" w:rsidRPr="00807BE1" w14:paraId="2C54E0CE" w14:textId="77777777" w:rsidTr="00807BE1">
        <w:trPr>
          <w:trHeight w:val="320"/>
        </w:trPr>
        <w:tc>
          <w:tcPr>
            <w:tcW w:w="2640" w:type="dxa"/>
            <w:tcBorders>
              <w:top w:val="nil"/>
              <w:left w:val="nil"/>
              <w:bottom w:val="nil"/>
              <w:right w:val="nil"/>
            </w:tcBorders>
            <w:shd w:val="clear" w:color="auto" w:fill="auto"/>
            <w:vAlign w:val="center"/>
            <w:hideMark/>
          </w:tcPr>
          <w:p w14:paraId="0008E64A" w14:textId="77777777" w:rsidR="00807BE1" w:rsidRPr="00807BE1" w:rsidRDefault="00807BE1" w:rsidP="00807BE1">
            <w:pPr>
              <w:spacing w:after="0" w:line="240" w:lineRule="auto"/>
              <w:ind w:firstLineChars="100" w:firstLine="200"/>
              <w:rPr>
                <w:rFonts w:ascii="Times New Roman" w:eastAsia="Times New Roman" w:hAnsi="Times New Roman"/>
                <w:color w:val="000000"/>
                <w:lang w:val="en-CA"/>
              </w:rPr>
            </w:pPr>
            <w:r w:rsidRPr="00807BE1">
              <w:rPr>
                <w:rFonts w:ascii="Times New Roman" w:eastAsia="Times New Roman" w:hAnsi="Times New Roman"/>
                <w:color w:val="000000"/>
                <w:lang w:val="en-CA"/>
              </w:rPr>
              <w:t>– Net new equity raised</w:t>
            </w:r>
          </w:p>
        </w:tc>
        <w:tc>
          <w:tcPr>
            <w:tcW w:w="1360" w:type="dxa"/>
            <w:tcBorders>
              <w:top w:val="nil"/>
              <w:left w:val="nil"/>
              <w:bottom w:val="single" w:sz="8" w:space="0" w:color="auto"/>
              <w:right w:val="nil"/>
            </w:tcBorders>
            <w:shd w:val="clear" w:color="auto" w:fill="auto"/>
            <w:vAlign w:val="center"/>
            <w:hideMark/>
          </w:tcPr>
          <w:p w14:paraId="7077506A" w14:textId="77777777" w:rsidR="00807BE1" w:rsidRPr="00807BE1" w:rsidRDefault="00807BE1" w:rsidP="00807BE1">
            <w:pPr>
              <w:spacing w:after="0" w:line="240" w:lineRule="auto"/>
              <w:jc w:val="right"/>
              <w:rPr>
                <w:rFonts w:ascii="Times New Roman" w:eastAsia="Times New Roman" w:hAnsi="Times New Roman"/>
                <w:color w:val="000000"/>
                <w:lang w:val="en-CA"/>
              </w:rPr>
            </w:pPr>
            <w:r w:rsidRPr="00807BE1">
              <w:rPr>
                <w:rFonts w:ascii="Times New Roman" w:eastAsia="Times New Roman" w:hAnsi="Times New Roman"/>
                <w:color w:val="000000"/>
                <w:lang w:val="en-CA"/>
              </w:rPr>
              <w:t>$20,500.00</w:t>
            </w:r>
          </w:p>
        </w:tc>
      </w:tr>
      <w:tr w:rsidR="00807BE1" w:rsidRPr="00807BE1" w14:paraId="53D36493" w14:textId="77777777" w:rsidTr="00807BE1">
        <w:trPr>
          <w:trHeight w:val="320"/>
        </w:trPr>
        <w:tc>
          <w:tcPr>
            <w:tcW w:w="2640" w:type="dxa"/>
            <w:tcBorders>
              <w:top w:val="nil"/>
              <w:left w:val="nil"/>
              <w:bottom w:val="nil"/>
              <w:right w:val="nil"/>
            </w:tcBorders>
            <w:shd w:val="clear" w:color="auto" w:fill="auto"/>
            <w:vAlign w:val="center"/>
            <w:hideMark/>
          </w:tcPr>
          <w:p w14:paraId="4F410E7C" w14:textId="77777777" w:rsidR="00807BE1" w:rsidRPr="00807BE1" w:rsidRDefault="00807BE1" w:rsidP="00807BE1">
            <w:pPr>
              <w:spacing w:after="0" w:line="240" w:lineRule="auto"/>
              <w:ind w:firstLineChars="100" w:firstLine="200"/>
              <w:rPr>
                <w:rFonts w:ascii="Times New Roman" w:eastAsia="Times New Roman" w:hAnsi="Times New Roman"/>
                <w:color w:val="000000"/>
                <w:lang w:val="en-CA"/>
              </w:rPr>
            </w:pPr>
            <w:r w:rsidRPr="00807BE1">
              <w:rPr>
                <w:rFonts w:ascii="Times New Roman" w:eastAsia="Times New Roman" w:hAnsi="Times New Roman"/>
                <w:color w:val="000000"/>
                <w:lang w:val="en-CA"/>
              </w:rPr>
              <w:t xml:space="preserve">   Cash flow to stockholders</w:t>
            </w:r>
          </w:p>
        </w:tc>
        <w:tc>
          <w:tcPr>
            <w:tcW w:w="1360" w:type="dxa"/>
            <w:tcBorders>
              <w:top w:val="nil"/>
              <w:left w:val="nil"/>
              <w:bottom w:val="single" w:sz="8" w:space="0" w:color="000000"/>
              <w:right w:val="nil"/>
            </w:tcBorders>
            <w:shd w:val="clear" w:color="auto" w:fill="auto"/>
            <w:vAlign w:val="center"/>
            <w:hideMark/>
          </w:tcPr>
          <w:p w14:paraId="0DD5881C" w14:textId="77777777" w:rsidR="00807BE1" w:rsidRPr="00807BE1" w:rsidRDefault="00807BE1" w:rsidP="00807BE1">
            <w:pPr>
              <w:spacing w:after="0" w:line="240" w:lineRule="auto"/>
              <w:jc w:val="right"/>
              <w:rPr>
                <w:rFonts w:ascii="Times New Roman" w:eastAsia="Times New Roman" w:hAnsi="Times New Roman"/>
                <w:color w:val="000000"/>
                <w:lang w:val="en-CA"/>
              </w:rPr>
            </w:pPr>
            <w:r w:rsidRPr="00807BE1">
              <w:rPr>
                <w:rFonts w:ascii="Times New Roman" w:eastAsia="Times New Roman" w:hAnsi="Times New Roman"/>
                <w:color w:val="000000"/>
                <w:lang w:val="en-CA"/>
              </w:rPr>
              <w:t>$11,123.20</w:t>
            </w:r>
          </w:p>
        </w:tc>
      </w:tr>
    </w:tbl>
    <w:p w14:paraId="0A6D11F4" w14:textId="77777777" w:rsidR="00807BE1" w:rsidRDefault="00807BE1" w:rsidP="007E18C1">
      <w:pPr>
        <w:autoSpaceDE w:val="0"/>
        <w:autoSpaceDN w:val="0"/>
        <w:adjustRightInd w:val="0"/>
        <w:spacing w:after="0" w:line="240" w:lineRule="auto"/>
        <w:ind w:left="360"/>
        <w:rPr>
          <w:rFonts w:ascii="Times New Roman" w:hAnsi="Times New Roman"/>
        </w:rPr>
      </w:pPr>
    </w:p>
    <w:p w14:paraId="155669C7" w14:textId="77777777" w:rsidR="00807BE1" w:rsidRDefault="00807BE1" w:rsidP="007E18C1">
      <w:pPr>
        <w:autoSpaceDE w:val="0"/>
        <w:autoSpaceDN w:val="0"/>
        <w:adjustRightInd w:val="0"/>
        <w:spacing w:after="0" w:line="240" w:lineRule="auto"/>
        <w:ind w:left="360"/>
        <w:rPr>
          <w:rFonts w:ascii="Times New Roman" w:hAnsi="Times New Roman"/>
        </w:rPr>
      </w:pPr>
    </w:p>
    <w:p w14:paraId="2F24AA3F" w14:textId="77777777" w:rsidR="00807BE1" w:rsidRPr="007E18C1" w:rsidRDefault="00807BE1" w:rsidP="007E18C1">
      <w:pPr>
        <w:autoSpaceDE w:val="0"/>
        <w:autoSpaceDN w:val="0"/>
        <w:adjustRightInd w:val="0"/>
        <w:spacing w:after="0" w:line="240" w:lineRule="auto"/>
        <w:ind w:left="360"/>
        <w:rPr>
          <w:rFonts w:ascii="Times New Roman" w:hAnsi="Times New Roman"/>
        </w:rPr>
      </w:pPr>
    </w:p>
    <w:p w14:paraId="6C04842D" w14:textId="02DDEDB7" w:rsidR="003D111D" w:rsidRDefault="003D111D" w:rsidP="007E18C1">
      <w:pPr>
        <w:tabs>
          <w:tab w:val="decimal" w:pos="-990"/>
        </w:tabs>
        <w:autoSpaceDE w:val="0"/>
        <w:autoSpaceDN w:val="0"/>
        <w:adjustRightInd w:val="0"/>
        <w:spacing w:after="0" w:line="240" w:lineRule="auto"/>
        <w:ind w:left="360"/>
        <w:rPr>
          <w:rFonts w:ascii="Times New Roman" w:hAnsi="Times New Roman"/>
          <w:iCs/>
        </w:rPr>
      </w:pPr>
    </w:p>
    <w:p w14:paraId="2981850F" w14:textId="77777777" w:rsidR="003D111D" w:rsidRPr="00B818C7" w:rsidRDefault="003D111D" w:rsidP="007D59AC">
      <w:pPr>
        <w:autoSpaceDE w:val="0"/>
        <w:autoSpaceDN w:val="0"/>
        <w:adjustRightInd w:val="0"/>
        <w:spacing w:after="0" w:line="240" w:lineRule="auto"/>
        <w:rPr>
          <w:rFonts w:ascii="Times New Roman" w:hAnsi="Times New Roman"/>
          <w:i/>
          <w:iCs/>
          <w:u w:val="single"/>
        </w:rPr>
      </w:pPr>
      <w:r w:rsidRPr="00B818C7">
        <w:rPr>
          <w:rFonts w:ascii="Times New Roman" w:hAnsi="Times New Roman"/>
          <w:i/>
          <w:iCs/>
          <w:u w:val="single"/>
        </w:rPr>
        <w:t>Answers to questions</w:t>
      </w:r>
    </w:p>
    <w:p w14:paraId="68DA47BE" w14:textId="77777777" w:rsidR="003D111D" w:rsidRPr="00A64C8C" w:rsidRDefault="003D111D" w:rsidP="007D59AC">
      <w:pPr>
        <w:autoSpaceDE w:val="0"/>
        <w:autoSpaceDN w:val="0"/>
        <w:adjustRightInd w:val="0"/>
        <w:spacing w:after="0" w:line="240" w:lineRule="auto"/>
        <w:rPr>
          <w:rFonts w:ascii="Times New Roman" w:hAnsi="Times New Roman"/>
          <w:i/>
          <w:iCs/>
        </w:rPr>
      </w:pPr>
    </w:p>
    <w:p w14:paraId="18FF462D" w14:textId="2EB99F96" w:rsidR="003D111D" w:rsidRPr="00B818C7" w:rsidRDefault="003D111D" w:rsidP="00B351C3">
      <w:pPr>
        <w:pStyle w:val="ListParagraph"/>
        <w:numPr>
          <w:ilvl w:val="0"/>
          <w:numId w:val="2"/>
        </w:numPr>
        <w:autoSpaceDE w:val="0"/>
        <w:autoSpaceDN w:val="0"/>
        <w:adjustRightInd w:val="0"/>
        <w:spacing w:after="0" w:line="240" w:lineRule="auto"/>
        <w:ind w:left="360"/>
        <w:jc w:val="both"/>
        <w:rPr>
          <w:rFonts w:ascii="Times New Roman" w:hAnsi="Times New Roman"/>
        </w:rPr>
      </w:pPr>
      <w:r w:rsidRPr="00B818C7">
        <w:rPr>
          <w:rFonts w:ascii="Times New Roman" w:hAnsi="Times New Roman"/>
        </w:rPr>
        <w:t>The firm had positive earnings in an accounting sense (NI &gt; 0) and had positive cash flow from operations. The firm invested $</w:t>
      </w:r>
      <w:r w:rsidR="004B7C5A">
        <w:rPr>
          <w:rFonts w:ascii="Times New Roman" w:hAnsi="Times New Roman"/>
        </w:rPr>
        <w:t xml:space="preserve">20,894 </w:t>
      </w:r>
      <w:r w:rsidRPr="00B818C7">
        <w:rPr>
          <w:rFonts w:ascii="Times New Roman" w:hAnsi="Times New Roman"/>
        </w:rPr>
        <w:t>in new net working capital and $</w:t>
      </w:r>
      <w:r w:rsidR="004B7C5A">
        <w:rPr>
          <w:rFonts w:ascii="Times New Roman" w:hAnsi="Times New Roman"/>
        </w:rPr>
        <w:t>96,839</w:t>
      </w:r>
      <w:r w:rsidR="004B7C5A" w:rsidRPr="00B818C7">
        <w:rPr>
          <w:rFonts w:ascii="Times New Roman" w:hAnsi="Times New Roman"/>
        </w:rPr>
        <w:t xml:space="preserve"> </w:t>
      </w:r>
      <w:r w:rsidRPr="00B818C7">
        <w:rPr>
          <w:rFonts w:ascii="Times New Roman" w:hAnsi="Times New Roman"/>
        </w:rPr>
        <w:t xml:space="preserve">in new fixed assets.  The firm </w:t>
      </w:r>
      <w:r w:rsidR="00BE3AB9">
        <w:rPr>
          <w:rFonts w:ascii="Times New Roman" w:hAnsi="Times New Roman"/>
        </w:rPr>
        <w:t>disbursed</w:t>
      </w:r>
      <w:r w:rsidR="00BE3AB9" w:rsidRPr="00B818C7">
        <w:rPr>
          <w:rFonts w:ascii="Times New Roman" w:hAnsi="Times New Roman"/>
        </w:rPr>
        <w:t xml:space="preserve"> </w:t>
      </w:r>
      <w:r w:rsidRPr="00B818C7">
        <w:rPr>
          <w:rFonts w:ascii="Times New Roman" w:hAnsi="Times New Roman"/>
        </w:rPr>
        <w:t>$</w:t>
      </w:r>
      <w:r w:rsidR="00DB3409">
        <w:rPr>
          <w:rFonts w:ascii="Times New Roman" w:hAnsi="Times New Roman"/>
        </w:rPr>
        <w:t xml:space="preserve">9,321.20 </w:t>
      </w:r>
      <w:r w:rsidRPr="00B818C7">
        <w:rPr>
          <w:rFonts w:ascii="Times New Roman" w:hAnsi="Times New Roman"/>
        </w:rPr>
        <w:t xml:space="preserve">to its </w:t>
      </w:r>
      <w:r w:rsidR="00DB3409">
        <w:rPr>
          <w:rFonts w:ascii="Times New Roman" w:hAnsi="Times New Roman"/>
        </w:rPr>
        <w:t>bondholders and shareholders</w:t>
      </w:r>
      <w:r w:rsidRPr="00B818C7">
        <w:rPr>
          <w:rFonts w:ascii="Times New Roman" w:hAnsi="Times New Roman"/>
        </w:rPr>
        <w:t>. It raised $</w:t>
      </w:r>
      <w:r w:rsidR="00DB3409">
        <w:rPr>
          <w:rFonts w:ascii="Times New Roman" w:hAnsi="Times New Roman"/>
        </w:rPr>
        <w:t xml:space="preserve">1,802 </w:t>
      </w:r>
      <w:r w:rsidRPr="00B818C7">
        <w:rPr>
          <w:rFonts w:ascii="Times New Roman" w:hAnsi="Times New Roman"/>
        </w:rPr>
        <w:t>from bondholders, and paid $</w:t>
      </w:r>
      <w:r w:rsidR="00DB3409">
        <w:rPr>
          <w:rFonts w:ascii="Times New Roman" w:hAnsi="Times New Roman"/>
        </w:rPr>
        <w:t xml:space="preserve">11,123.20 </w:t>
      </w:r>
      <w:r w:rsidRPr="00B818C7">
        <w:rPr>
          <w:rFonts w:ascii="Times New Roman" w:hAnsi="Times New Roman"/>
        </w:rPr>
        <w:t>to stockholders.</w:t>
      </w:r>
    </w:p>
    <w:p w14:paraId="1433F362" w14:textId="77777777" w:rsidR="003D111D" w:rsidRPr="00A64C8C" w:rsidRDefault="003D111D" w:rsidP="00E37053">
      <w:pPr>
        <w:autoSpaceDE w:val="0"/>
        <w:autoSpaceDN w:val="0"/>
        <w:adjustRightInd w:val="0"/>
        <w:spacing w:after="0" w:line="240" w:lineRule="auto"/>
        <w:ind w:left="360" w:hanging="360"/>
        <w:jc w:val="both"/>
        <w:rPr>
          <w:rFonts w:ascii="Times New Roman" w:hAnsi="Times New Roman"/>
        </w:rPr>
      </w:pPr>
    </w:p>
    <w:p w14:paraId="280CB192" w14:textId="77777777" w:rsidR="003D111D" w:rsidRPr="00B818C7" w:rsidRDefault="003D111D" w:rsidP="00B351C3">
      <w:pPr>
        <w:pStyle w:val="ListParagraph"/>
        <w:numPr>
          <w:ilvl w:val="0"/>
          <w:numId w:val="2"/>
        </w:numPr>
        <w:autoSpaceDE w:val="0"/>
        <w:autoSpaceDN w:val="0"/>
        <w:adjustRightInd w:val="0"/>
        <w:spacing w:after="0" w:line="240" w:lineRule="auto"/>
        <w:ind w:left="360"/>
        <w:jc w:val="both"/>
        <w:rPr>
          <w:rFonts w:ascii="Times New Roman" w:hAnsi="Times New Roman"/>
        </w:rPr>
      </w:pPr>
      <w:r w:rsidRPr="00B818C7">
        <w:rPr>
          <w:rFonts w:ascii="Times New Roman" w:hAnsi="Times New Roman"/>
        </w:rPr>
        <w:t>The expansion plans may be a little risky. The company does have a positive cash flow, but a large portion of the operating cash flow is already going to capital spending. The company has had to raise capital from creditors and stockholders for its current operations. So, the expansion plans may be too aggressive at this time. On the other hand, companies do need capital to grow. Before investing or loaning the company money, you would want to know where the current capital spending is going,</w:t>
      </w:r>
      <w:r>
        <w:rPr>
          <w:rFonts w:ascii="Times New Roman" w:hAnsi="Times New Roman"/>
        </w:rPr>
        <w:t xml:space="preserve"> </w:t>
      </w:r>
      <w:r w:rsidRPr="00B818C7">
        <w:rPr>
          <w:rFonts w:ascii="Times New Roman" w:hAnsi="Times New Roman"/>
        </w:rPr>
        <w:t>and why the company is spending so much in this area already.</w:t>
      </w:r>
    </w:p>
    <w:p w14:paraId="0A050602" w14:textId="77777777" w:rsidR="003D111D" w:rsidRPr="00A64C8C" w:rsidRDefault="003D111D" w:rsidP="007D59AC">
      <w:pPr>
        <w:autoSpaceDE w:val="0"/>
        <w:autoSpaceDN w:val="0"/>
        <w:adjustRightInd w:val="0"/>
        <w:spacing w:after="0" w:line="240" w:lineRule="auto"/>
        <w:rPr>
          <w:rFonts w:ascii="Times New Roman" w:hAnsi="Times New Roman"/>
        </w:rPr>
      </w:pPr>
    </w:p>
    <w:p w14:paraId="7DC437A4" w14:textId="77777777" w:rsidR="003D111D" w:rsidRDefault="003D111D">
      <w:pPr>
        <w:rPr>
          <w:rFonts w:ascii="Times New Roman" w:hAnsi="Times New Roman"/>
          <w:b/>
          <w:bCs/>
          <w:i/>
          <w:iCs/>
          <w:sz w:val="48"/>
          <w:szCs w:val="48"/>
        </w:rPr>
      </w:pPr>
    </w:p>
    <w:sectPr w:rsidR="003D111D" w:rsidSect="004F7201">
      <w:headerReference w:type="default" r:id="rId7"/>
      <w:footerReference w:type="default" r:id="rId8"/>
      <w:pgSz w:w="12240" w:h="15840"/>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CA923" w14:textId="77777777" w:rsidR="00DB49F0" w:rsidRDefault="00DB49F0" w:rsidP="007E18C1">
      <w:pPr>
        <w:spacing w:after="0" w:line="240" w:lineRule="auto"/>
      </w:pPr>
      <w:r>
        <w:separator/>
      </w:r>
    </w:p>
  </w:endnote>
  <w:endnote w:type="continuationSeparator" w:id="0">
    <w:p w14:paraId="22811FCD" w14:textId="77777777" w:rsidR="00DB49F0" w:rsidRDefault="00DB49F0" w:rsidP="007E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CEBF" w14:textId="5B6CC741" w:rsidR="00BA078A" w:rsidRDefault="00BA078A" w:rsidP="003C572C">
    <w:pPr>
      <w:pStyle w:val="Footer"/>
      <w:jc w:val="center"/>
    </w:pPr>
    <w:r>
      <w:t xml:space="preserve">Ross, </w:t>
    </w:r>
    <w:proofErr w:type="spellStart"/>
    <w:r>
      <w:t>Westerfield</w:t>
    </w:r>
    <w:proofErr w:type="spellEnd"/>
    <w:r>
      <w:t xml:space="preserve">, Jordan, Roberts </w:t>
    </w:r>
    <w:r w:rsidRPr="003C572C">
      <w:rPr>
        <w:i/>
      </w:rPr>
      <w:t>Fundamentals of Corporate Finance</w:t>
    </w:r>
    <w:r>
      <w:t xml:space="preserve"> </w:t>
    </w:r>
    <w:r w:rsidR="00417662">
      <w:t>9</w:t>
    </w:r>
    <w:r w:rsidR="00417662" w:rsidRPr="003C572C">
      <w:rPr>
        <w:vertAlign w:val="superscript"/>
      </w:rPr>
      <w:t>th</w:t>
    </w:r>
    <w:r w:rsidR="00417662">
      <w:t xml:space="preserve"> </w:t>
    </w:r>
    <w:r>
      <w:t>Canadian Edition Mini Case Solutions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E11CA" w14:textId="77777777" w:rsidR="00DB49F0" w:rsidRDefault="00DB49F0" w:rsidP="007E18C1">
      <w:pPr>
        <w:spacing w:after="0" w:line="240" w:lineRule="auto"/>
      </w:pPr>
      <w:r>
        <w:separator/>
      </w:r>
    </w:p>
  </w:footnote>
  <w:footnote w:type="continuationSeparator" w:id="0">
    <w:p w14:paraId="1D5B4609" w14:textId="77777777" w:rsidR="00DB49F0" w:rsidRDefault="00DB49F0" w:rsidP="007E1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281F" w14:textId="77777777" w:rsidR="00BA078A" w:rsidRDefault="00BA078A">
    <w:pPr>
      <w:pStyle w:val="Header"/>
      <w:jc w:val="right"/>
    </w:pPr>
    <w:r>
      <w:fldChar w:fldCharType="begin"/>
    </w:r>
    <w:r>
      <w:instrText xml:space="preserve"> PAGE   \* MERGEFORMAT </w:instrText>
    </w:r>
    <w:r>
      <w:fldChar w:fldCharType="separate"/>
    </w:r>
    <w:r w:rsidR="00D26ECD">
      <w:rPr>
        <w:noProof/>
      </w:rPr>
      <w:t>1</w:t>
    </w:r>
    <w:r>
      <w:rPr>
        <w:noProof/>
      </w:rPr>
      <w:fldChar w:fldCharType="end"/>
    </w:r>
  </w:p>
  <w:p w14:paraId="5B2B15DC" w14:textId="77777777" w:rsidR="00BA078A" w:rsidRDefault="00BA0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0605"/>
    <w:multiLevelType w:val="hybridMultilevel"/>
    <w:tmpl w:val="B96ABABA"/>
    <w:lvl w:ilvl="0" w:tplc="5C14F1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9209ED"/>
    <w:multiLevelType w:val="hybridMultilevel"/>
    <w:tmpl w:val="58401FB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7E13E49"/>
    <w:multiLevelType w:val="hybridMultilevel"/>
    <w:tmpl w:val="747C2674"/>
    <w:lvl w:ilvl="0" w:tplc="6D3862BC">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EF6CCB"/>
    <w:multiLevelType w:val="hybridMultilevel"/>
    <w:tmpl w:val="73D6551E"/>
    <w:lvl w:ilvl="0" w:tplc="92F4FEC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4312B0B"/>
    <w:multiLevelType w:val="hybridMultilevel"/>
    <w:tmpl w:val="D69E00EA"/>
    <w:lvl w:ilvl="0" w:tplc="7ED66CDE">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9062D8"/>
    <w:multiLevelType w:val="hybridMultilevel"/>
    <w:tmpl w:val="4D7E380A"/>
    <w:lvl w:ilvl="0" w:tplc="5C14F1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934591"/>
    <w:multiLevelType w:val="hybridMultilevel"/>
    <w:tmpl w:val="883604D0"/>
    <w:lvl w:ilvl="0" w:tplc="B63A775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D41F34"/>
    <w:multiLevelType w:val="hybridMultilevel"/>
    <w:tmpl w:val="77AECCD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8276E24"/>
    <w:multiLevelType w:val="hybridMultilevel"/>
    <w:tmpl w:val="0C161E34"/>
    <w:lvl w:ilvl="0" w:tplc="5C14F1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192008"/>
    <w:multiLevelType w:val="hybridMultilevel"/>
    <w:tmpl w:val="3AEE3480"/>
    <w:lvl w:ilvl="0" w:tplc="7BF283B8">
      <w:start w:val="1"/>
      <w:numFmt w:val="decimal"/>
      <w:lvlText w:val="%1."/>
      <w:lvlJc w:val="left"/>
      <w:pPr>
        <w:tabs>
          <w:tab w:val="num" w:pos="720"/>
        </w:tabs>
        <w:ind w:left="720" w:hanging="360"/>
      </w:pPr>
      <w:rPr>
        <w:rFonts w:ascii="Times New Roman" w:hAnsi="Times New Roman" w:cs="Times New Roman" w:hint="default"/>
        <w:b/>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0E253FB"/>
    <w:multiLevelType w:val="hybridMultilevel"/>
    <w:tmpl w:val="34D65B72"/>
    <w:lvl w:ilvl="0" w:tplc="6D3862BC">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E426D6"/>
    <w:multiLevelType w:val="hybridMultilevel"/>
    <w:tmpl w:val="18DE580E"/>
    <w:lvl w:ilvl="0" w:tplc="5C14F1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980DAC"/>
    <w:multiLevelType w:val="hybridMultilevel"/>
    <w:tmpl w:val="2542A7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562543"/>
    <w:multiLevelType w:val="hybridMultilevel"/>
    <w:tmpl w:val="6B8EA1CE"/>
    <w:lvl w:ilvl="0" w:tplc="9BC203BE">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1B8283B"/>
    <w:multiLevelType w:val="hybridMultilevel"/>
    <w:tmpl w:val="D7685272"/>
    <w:lvl w:ilvl="0" w:tplc="92F4FEC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FC071A6"/>
    <w:multiLevelType w:val="hybridMultilevel"/>
    <w:tmpl w:val="FCBC7114"/>
    <w:lvl w:ilvl="0" w:tplc="5C14F1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24A616A"/>
    <w:multiLevelType w:val="hybridMultilevel"/>
    <w:tmpl w:val="D540A4FE"/>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7E1B2EF0"/>
    <w:multiLevelType w:val="hybridMultilevel"/>
    <w:tmpl w:val="B2B8CBA0"/>
    <w:lvl w:ilvl="0" w:tplc="92F4FEC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E3A428C"/>
    <w:multiLevelType w:val="hybridMultilevel"/>
    <w:tmpl w:val="967C7696"/>
    <w:lvl w:ilvl="0" w:tplc="5C14F1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FEC5B80"/>
    <w:multiLevelType w:val="hybridMultilevel"/>
    <w:tmpl w:val="BA04B094"/>
    <w:lvl w:ilvl="0" w:tplc="5C14F1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15"/>
  </w:num>
  <w:num w:numId="3">
    <w:abstractNumId w:val="5"/>
  </w:num>
  <w:num w:numId="4">
    <w:abstractNumId w:val="8"/>
  </w:num>
  <w:num w:numId="5">
    <w:abstractNumId w:val="19"/>
  </w:num>
  <w:num w:numId="6">
    <w:abstractNumId w:val="11"/>
  </w:num>
  <w:num w:numId="7">
    <w:abstractNumId w:val="0"/>
  </w:num>
  <w:num w:numId="8">
    <w:abstractNumId w:val="18"/>
  </w:num>
  <w:num w:numId="9">
    <w:abstractNumId w:val="1"/>
  </w:num>
  <w:num w:numId="10">
    <w:abstractNumId w:val="7"/>
  </w:num>
  <w:num w:numId="11">
    <w:abstractNumId w:val="16"/>
  </w:num>
  <w:num w:numId="12">
    <w:abstractNumId w:val="6"/>
  </w:num>
  <w:num w:numId="13">
    <w:abstractNumId w:val="14"/>
  </w:num>
  <w:num w:numId="14">
    <w:abstractNumId w:val="3"/>
  </w:num>
  <w:num w:numId="15">
    <w:abstractNumId w:val="17"/>
  </w:num>
  <w:num w:numId="16">
    <w:abstractNumId w:val="12"/>
  </w:num>
  <w:num w:numId="17">
    <w:abstractNumId w:val="4"/>
  </w:num>
  <w:num w:numId="18">
    <w:abstractNumId w:val="10"/>
  </w:num>
  <w:num w:numId="19">
    <w:abstractNumId w:val="2"/>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AC"/>
    <w:rsid w:val="000007D0"/>
    <w:rsid w:val="00006F2A"/>
    <w:rsid w:val="0002725D"/>
    <w:rsid w:val="00042D36"/>
    <w:rsid w:val="00063E7B"/>
    <w:rsid w:val="00082974"/>
    <w:rsid w:val="00084479"/>
    <w:rsid w:val="000A0FC1"/>
    <w:rsid w:val="000A6E06"/>
    <w:rsid w:val="000B3896"/>
    <w:rsid w:val="000B609E"/>
    <w:rsid w:val="000D3656"/>
    <w:rsid w:val="000E31F8"/>
    <w:rsid w:val="000E7468"/>
    <w:rsid w:val="000F5BCA"/>
    <w:rsid w:val="00100C31"/>
    <w:rsid w:val="00114C16"/>
    <w:rsid w:val="001460A6"/>
    <w:rsid w:val="00165BFD"/>
    <w:rsid w:val="00172481"/>
    <w:rsid w:val="00172D37"/>
    <w:rsid w:val="00176C6C"/>
    <w:rsid w:val="0018477F"/>
    <w:rsid w:val="00187E73"/>
    <w:rsid w:val="001B3922"/>
    <w:rsid w:val="001C33AC"/>
    <w:rsid w:val="001C3643"/>
    <w:rsid w:val="001C5752"/>
    <w:rsid w:val="001D3307"/>
    <w:rsid w:val="001D7C01"/>
    <w:rsid w:val="001F3851"/>
    <w:rsid w:val="001F3C00"/>
    <w:rsid w:val="001F50FE"/>
    <w:rsid w:val="00204755"/>
    <w:rsid w:val="00205C7B"/>
    <w:rsid w:val="0021092E"/>
    <w:rsid w:val="00215EDA"/>
    <w:rsid w:val="00221500"/>
    <w:rsid w:val="00227D56"/>
    <w:rsid w:val="00235ED1"/>
    <w:rsid w:val="00256D0B"/>
    <w:rsid w:val="00263794"/>
    <w:rsid w:val="00274C8C"/>
    <w:rsid w:val="00274CC6"/>
    <w:rsid w:val="00285693"/>
    <w:rsid w:val="00291106"/>
    <w:rsid w:val="00297FC9"/>
    <w:rsid w:val="002B0148"/>
    <w:rsid w:val="002C30E0"/>
    <w:rsid w:val="002C7ED7"/>
    <w:rsid w:val="002D0301"/>
    <w:rsid w:val="002D6E87"/>
    <w:rsid w:val="002E4F8E"/>
    <w:rsid w:val="002F4011"/>
    <w:rsid w:val="00303B76"/>
    <w:rsid w:val="00312055"/>
    <w:rsid w:val="00321C3F"/>
    <w:rsid w:val="00326994"/>
    <w:rsid w:val="003351DA"/>
    <w:rsid w:val="003468FD"/>
    <w:rsid w:val="00383153"/>
    <w:rsid w:val="003A18AF"/>
    <w:rsid w:val="003A7BF2"/>
    <w:rsid w:val="003B2F2A"/>
    <w:rsid w:val="003B5A3A"/>
    <w:rsid w:val="003C572C"/>
    <w:rsid w:val="003D07E4"/>
    <w:rsid w:val="003D111D"/>
    <w:rsid w:val="003D3B90"/>
    <w:rsid w:val="003D519C"/>
    <w:rsid w:val="003D76CD"/>
    <w:rsid w:val="003E66F8"/>
    <w:rsid w:val="00400750"/>
    <w:rsid w:val="00417662"/>
    <w:rsid w:val="00417A71"/>
    <w:rsid w:val="00421E47"/>
    <w:rsid w:val="004246B4"/>
    <w:rsid w:val="00424D5E"/>
    <w:rsid w:val="004401FE"/>
    <w:rsid w:val="004436A7"/>
    <w:rsid w:val="0044546B"/>
    <w:rsid w:val="00462CB4"/>
    <w:rsid w:val="0046618D"/>
    <w:rsid w:val="004754E1"/>
    <w:rsid w:val="004763E4"/>
    <w:rsid w:val="00485A36"/>
    <w:rsid w:val="004A5B30"/>
    <w:rsid w:val="004B276B"/>
    <w:rsid w:val="004B6B9D"/>
    <w:rsid w:val="004B7C5A"/>
    <w:rsid w:val="004C6BFC"/>
    <w:rsid w:val="004D0E36"/>
    <w:rsid w:val="004F7201"/>
    <w:rsid w:val="0050348D"/>
    <w:rsid w:val="00522FFB"/>
    <w:rsid w:val="00530C5E"/>
    <w:rsid w:val="0054107A"/>
    <w:rsid w:val="00550A97"/>
    <w:rsid w:val="0056307C"/>
    <w:rsid w:val="00565EF6"/>
    <w:rsid w:val="005769DD"/>
    <w:rsid w:val="00586073"/>
    <w:rsid w:val="005866A8"/>
    <w:rsid w:val="00594B90"/>
    <w:rsid w:val="00597E52"/>
    <w:rsid w:val="005B057D"/>
    <w:rsid w:val="005B7AD1"/>
    <w:rsid w:val="005C2F0C"/>
    <w:rsid w:val="005C5C8F"/>
    <w:rsid w:val="005D4257"/>
    <w:rsid w:val="005E086F"/>
    <w:rsid w:val="005E19AE"/>
    <w:rsid w:val="005E6A85"/>
    <w:rsid w:val="005F18EA"/>
    <w:rsid w:val="005F439B"/>
    <w:rsid w:val="00600BEC"/>
    <w:rsid w:val="0060289C"/>
    <w:rsid w:val="00604D97"/>
    <w:rsid w:val="00642EC0"/>
    <w:rsid w:val="00650564"/>
    <w:rsid w:val="00651321"/>
    <w:rsid w:val="00653C73"/>
    <w:rsid w:val="0065542B"/>
    <w:rsid w:val="006620F9"/>
    <w:rsid w:val="00664269"/>
    <w:rsid w:val="00674D55"/>
    <w:rsid w:val="00684BC9"/>
    <w:rsid w:val="006857E9"/>
    <w:rsid w:val="006A064C"/>
    <w:rsid w:val="006D040E"/>
    <w:rsid w:val="006E0D1E"/>
    <w:rsid w:val="006E2397"/>
    <w:rsid w:val="006F5C58"/>
    <w:rsid w:val="00711918"/>
    <w:rsid w:val="0071562A"/>
    <w:rsid w:val="007211BF"/>
    <w:rsid w:val="007334F0"/>
    <w:rsid w:val="00736C08"/>
    <w:rsid w:val="00740E3D"/>
    <w:rsid w:val="00740EB2"/>
    <w:rsid w:val="007536B2"/>
    <w:rsid w:val="00756421"/>
    <w:rsid w:val="00775759"/>
    <w:rsid w:val="00781176"/>
    <w:rsid w:val="007819EF"/>
    <w:rsid w:val="007836B2"/>
    <w:rsid w:val="00786F4E"/>
    <w:rsid w:val="00786FAC"/>
    <w:rsid w:val="007927C1"/>
    <w:rsid w:val="00793570"/>
    <w:rsid w:val="007B0E28"/>
    <w:rsid w:val="007D59AC"/>
    <w:rsid w:val="007D724B"/>
    <w:rsid w:val="007E18C1"/>
    <w:rsid w:val="007E5F12"/>
    <w:rsid w:val="007F07E5"/>
    <w:rsid w:val="007F390F"/>
    <w:rsid w:val="007F7725"/>
    <w:rsid w:val="00802EEE"/>
    <w:rsid w:val="008050E3"/>
    <w:rsid w:val="00807BE1"/>
    <w:rsid w:val="00824226"/>
    <w:rsid w:val="00844E88"/>
    <w:rsid w:val="00846B17"/>
    <w:rsid w:val="00850456"/>
    <w:rsid w:val="00854271"/>
    <w:rsid w:val="00861974"/>
    <w:rsid w:val="0087242E"/>
    <w:rsid w:val="00873BB3"/>
    <w:rsid w:val="00881E6E"/>
    <w:rsid w:val="00896141"/>
    <w:rsid w:val="008A3787"/>
    <w:rsid w:val="008A5C36"/>
    <w:rsid w:val="008A7DEA"/>
    <w:rsid w:val="008B2906"/>
    <w:rsid w:val="008C4E85"/>
    <w:rsid w:val="008C4F6A"/>
    <w:rsid w:val="008E4594"/>
    <w:rsid w:val="00922C9B"/>
    <w:rsid w:val="00934397"/>
    <w:rsid w:val="00940A36"/>
    <w:rsid w:val="00964A7A"/>
    <w:rsid w:val="00966991"/>
    <w:rsid w:val="009877DE"/>
    <w:rsid w:val="00996C62"/>
    <w:rsid w:val="009A48E0"/>
    <w:rsid w:val="009A49D7"/>
    <w:rsid w:val="009A65CF"/>
    <w:rsid w:val="009B6B9F"/>
    <w:rsid w:val="009C3EFC"/>
    <w:rsid w:val="009D35E5"/>
    <w:rsid w:val="009D5080"/>
    <w:rsid w:val="009E38FB"/>
    <w:rsid w:val="009E64F2"/>
    <w:rsid w:val="009F4B40"/>
    <w:rsid w:val="00A001A7"/>
    <w:rsid w:val="00A003EB"/>
    <w:rsid w:val="00A038F1"/>
    <w:rsid w:val="00A03A59"/>
    <w:rsid w:val="00A04742"/>
    <w:rsid w:val="00A07463"/>
    <w:rsid w:val="00A12D8C"/>
    <w:rsid w:val="00A132C2"/>
    <w:rsid w:val="00A25002"/>
    <w:rsid w:val="00A64C8C"/>
    <w:rsid w:val="00A738DC"/>
    <w:rsid w:val="00A925A6"/>
    <w:rsid w:val="00A93CCC"/>
    <w:rsid w:val="00AA344B"/>
    <w:rsid w:val="00AB23DA"/>
    <w:rsid w:val="00AB409E"/>
    <w:rsid w:val="00AB4841"/>
    <w:rsid w:val="00AC3A61"/>
    <w:rsid w:val="00AC4ED1"/>
    <w:rsid w:val="00AD0406"/>
    <w:rsid w:val="00AE2C75"/>
    <w:rsid w:val="00AE4EAD"/>
    <w:rsid w:val="00B03931"/>
    <w:rsid w:val="00B04F9A"/>
    <w:rsid w:val="00B10B52"/>
    <w:rsid w:val="00B132EF"/>
    <w:rsid w:val="00B17179"/>
    <w:rsid w:val="00B351C3"/>
    <w:rsid w:val="00B368F0"/>
    <w:rsid w:val="00B402BC"/>
    <w:rsid w:val="00B51893"/>
    <w:rsid w:val="00B64A95"/>
    <w:rsid w:val="00B700CC"/>
    <w:rsid w:val="00B7117E"/>
    <w:rsid w:val="00B7249A"/>
    <w:rsid w:val="00B74CD8"/>
    <w:rsid w:val="00B76CC4"/>
    <w:rsid w:val="00B818C7"/>
    <w:rsid w:val="00B8636B"/>
    <w:rsid w:val="00BA078A"/>
    <w:rsid w:val="00BA07D8"/>
    <w:rsid w:val="00BA57C3"/>
    <w:rsid w:val="00BB63A8"/>
    <w:rsid w:val="00BC205D"/>
    <w:rsid w:val="00BE3AB9"/>
    <w:rsid w:val="00BE6CD2"/>
    <w:rsid w:val="00C0094A"/>
    <w:rsid w:val="00C0564E"/>
    <w:rsid w:val="00C43802"/>
    <w:rsid w:val="00C439FA"/>
    <w:rsid w:val="00C74C49"/>
    <w:rsid w:val="00C81C62"/>
    <w:rsid w:val="00C83642"/>
    <w:rsid w:val="00C8395C"/>
    <w:rsid w:val="00CA307A"/>
    <w:rsid w:val="00CB30BF"/>
    <w:rsid w:val="00CC55BF"/>
    <w:rsid w:val="00CD48F2"/>
    <w:rsid w:val="00CE7C55"/>
    <w:rsid w:val="00CF0789"/>
    <w:rsid w:val="00CF2290"/>
    <w:rsid w:val="00CF3049"/>
    <w:rsid w:val="00D00ED4"/>
    <w:rsid w:val="00D01B2B"/>
    <w:rsid w:val="00D10EBC"/>
    <w:rsid w:val="00D135B5"/>
    <w:rsid w:val="00D13BC3"/>
    <w:rsid w:val="00D16762"/>
    <w:rsid w:val="00D20525"/>
    <w:rsid w:val="00D2142E"/>
    <w:rsid w:val="00D25FDD"/>
    <w:rsid w:val="00D26ECD"/>
    <w:rsid w:val="00D3419F"/>
    <w:rsid w:val="00D4637A"/>
    <w:rsid w:val="00D62B3E"/>
    <w:rsid w:val="00D74A21"/>
    <w:rsid w:val="00D92824"/>
    <w:rsid w:val="00DB265B"/>
    <w:rsid w:val="00DB3409"/>
    <w:rsid w:val="00DB49F0"/>
    <w:rsid w:val="00DC11F8"/>
    <w:rsid w:val="00DC1C1F"/>
    <w:rsid w:val="00DC4F28"/>
    <w:rsid w:val="00DD13BE"/>
    <w:rsid w:val="00DD2072"/>
    <w:rsid w:val="00DE1E61"/>
    <w:rsid w:val="00DF5668"/>
    <w:rsid w:val="00E1389D"/>
    <w:rsid w:val="00E37053"/>
    <w:rsid w:val="00E47DE6"/>
    <w:rsid w:val="00E55F14"/>
    <w:rsid w:val="00E6611E"/>
    <w:rsid w:val="00E742E7"/>
    <w:rsid w:val="00E8780E"/>
    <w:rsid w:val="00EA4013"/>
    <w:rsid w:val="00EB0AA4"/>
    <w:rsid w:val="00EB3B6C"/>
    <w:rsid w:val="00EB49DC"/>
    <w:rsid w:val="00EC33B4"/>
    <w:rsid w:val="00ED79E5"/>
    <w:rsid w:val="00EE2FB8"/>
    <w:rsid w:val="00EF02D9"/>
    <w:rsid w:val="00EF67A5"/>
    <w:rsid w:val="00F027A5"/>
    <w:rsid w:val="00F13659"/>
    <w:rsid w:val="00F21FD7"/>
    <w:rsid w:val="00F23BF9"/>
    <w:rsid w:val="00F24314"/>
    <w:rsid w:val="00F36569"/>
    <w:rsid w:val="00F44ACE"/>
    <w:rsid w:val="00F52443"/>
    <w:rsid w:val="00F575CA"/>
    <w:rsid w:val="00F60AC6"/>
    <w:rsid w:val="00F80A27"/>
    <w:rsid w:val="00F8148A"/>
    <w:rsid w:val="00F84708"/>
    <w:rsid w:val="00F862B6"/>
    <w:rsid w:val="00FA46AB"/>
    <w:rsid w:val="00FA506C"/>
    <w:rsid w:val="00FB2BB5"/>
    <w:rsid w:val="00FB7752"/>
    <w:rsid w:val="00FD0F18"/>
    <w:rsid w:val="00FD582D"/>
    <w:rsid w:val="00FD58F3"/>
    <w:rsid w:val="00FE07D2"/>
    <w:rsid w:val="00FE2816"/>
    <w:rsid w:val="00FF2AD4"/>
    <w:rsid w:val="00FF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5B837"/>
  <w15:docId w15:val="{7D91C5B4-3041-42FA-87A2-587E0C43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201"/>
    <w:pPr>
      <w:spacing w:after="200" w:line="276" w:lineRule="auto"/>
    </w:pPr>
    <w:rPr>
      <w:sz w:val="20"/>
      <w:szCs w:val="20"/>
    </w:rPr>
  </w:style>
  <w:style w:type="paragraph" w:styleId="Heading2">
    <w:name w:val="heading 2"/>
    <w:basedOn w:val="Normal"/>
    <w:link w:val="Heading2Char"/>
    <w:uiPriority w:val="99"/>
    <w:qFormat/>
    <w:locked/>
    <w:rsid w:val="00B351C3"/>
    <w:pPr>
      <w:spacing w:before="100" w:beforeAutospacing="1" w:after="100" w:afterAutospacing="1" w:line="240" w:lineRule="auto"/>
      <w:outlineLvl w:val="1"/>
    </w:pPr>
    <w:rPr>
      <w:rFonts w:ascii="Times New Roman" w:eastAsia="Times New Roman" w:hAnsi="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351C3"/>
    <w:rPr>
      <w:rFonts w:eastAsia="Times New Roman" w:cs="Times New Roman"/>
      <w:b/>
      <w:bCs/>
      <w:sz w:val="36"/>
      <w:szCs w:val="36"/>
      <w:lang w:val="en-CA" w:eastAsia="en-CA" w:bidi="ar-SA"/>
    </w:rPr>
  </w:style>
  <w:style w:type="table" w:customStyle="1" w:styleId="Calendar1">
    <w:name w:val="Calendar 1"/>
    <w:uiPriority w:val="99"/>
    <w:rsid w:val="007D59AC"/>
    <w:rPr>
      <w:rFonts w:eastAsia="Times New Roman"/>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99"/>
    <w:qFormat/>
    <w:rsid w:val="00844E88"/>
    <w:pPr>
      <w:ind w:left="720"/>
      <w:contextualSpacing/>
    </w:pPr>
  </w:style>
  <w:style w:type="table" w:styleId="TableGrid">
    <w:name w:val="Table Grid"/>
    <w:basedOn w:val="TableNormal"/>
    <w:uiPriority w:val="99"/>
    <w:rsid w:val="0093439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7E18C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18C1"/>
    <w:rPr>
      <w:rFonts w:cs="Times New Roman"/>
    </w:rPr>
  </w:style>
  <w:style w:type="paragraph" w:styleId="Footer">
    <w:name w:val="footer"/>
    <w:basedOn w:val="Normal"/>
    <w:link w:val="FooterChar"/>
    <w:uiPriority w:val="99"/>
    <w:rsid w:val="007E18C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18C1"/>
    <w:rPr>
      <w:rFonts w:cs="Times New Roman"/>
    </w:rPr>
  </w:style>
  <w:style w:type="character" w:styleId="Hyperlink">
    <w:name w:val="Hyperlink"/>
    <w:basedOn w:val="DefaultParagraphFont"/>
    <w:uiPriority w:val="99"/>
    <w:rsid w:val="00E55F14"/>
    <w:rPr>
      <w:rFonts w:cs="Times New Roman"/>
      <w:color w:val="0000FF"/>
      <w:u w:val="single"/>
    </w:rPr>
  </w:style>
  <w:style w:type="paragraph" w:styleId="BalloonText">
    <w:name w:val="Balloon Text"/>
    <w:basedOn w:val="Normal"/>
    <w:link w:val="BalloonTextChar"/>
    <w:uiPriority w:val="99"/>
    <w:semiHidden/>
    <w:rsid w:val="004C6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BFC"/>
    <w:rPr>
      <w:rFonts w:ascii="Tahoma" w:hAnsi="Tahoma" w:cs="Tahoma"/>
      <w:sz w:val="16"/>
      <w:szCs w:val="16"/>
    </w:rPr>
  </w:style>
  <w:style w:type="character" w:styleId="CommentReference">
    <w:name w:val="annotation reference"/>
    <w:basedOn w:val="DefaultParagraphFont"/>
    <w:uiPriority w:val="99"/>
    <w:semiHidden/>
    <w:rsid w:val="009877DE"/>
    <w:rPr>
      <w:rFonts w:cs="Times New Roman"/>
      <w:sz w:val="16"/>
      <w:szCs w:val="16"/>
    </w:rPr>
  </w:style>
  <w:style w:type="paragraph" w:styleId="CommentText">
    <w:name w:val="annotation text"/>
    <w:basedOn w:val="Normal"/>
    <w:link w:val="CommentTextChar"/>
    <w:uiPriority w:val="99"/>
    <w:semiHidden/>
    <w:rsid w:val="009877DE"/>
    <w:pPr>
      <w:spacing w:line="240" w:lineRule="auto"/>
    </w:pPr>
  </w:style>
  <w:style w:type="character" w:customStyle="1" w:styleId="CommentTextChar">
    <w:name w:val="Comment Text Char"/>
    <w:basedOn w:val="DefaultParagraphFont"/>
    <w:link w:val="CommentText"/>
    <w:uiPriority w:val="99"/>
    <w:semiHidden/>
    <w:locked/>
    <w:rsid w:val="009877DE"/>
    <w:rPr>
      <w:rFonts w:cs="Times New Roman"/>
      <w:sz w:val="20"/>
      <w:szCs w:val="20"/>
    </w:rPr>
  </w:style>
  <w:style w:type="paragraph" w:styleId="CommentSubject">
    <w:name w:val="annotation subject"/>
    <w:basedOn w:val="CommentText"/>
    <w:next w:val="CommentText"/>
    <w:link w:val="CommentSubjectChar"/>
    <w:uiPriority w:val="99"/>
    <w:semiHidden/>
    <w:rsid w:val="009877DE"/>
    <w:rPr>
      <w:b/>
      <w:bCs/>
    </w:rPr>
  </w:style>
  <w:style w:type="character" w:customStyle="1" w:styleId="CommentSubjectChar">
    <w:name w:val="Comment Subject Char"/>
    <w:basedOn w:val="CommentTextChar"/>
    <w:link w:val="CommentSubject"/>
    <w:uiPriority w:val="99"/>
    <w:semiHidden/>
    <w:locked/>
    <w:rsid w:val="009877DE"/>
    <w:rPr>
      <w:rFonts w:cs="Times New Roman"/>
      <w:b/>
      <w:bCs/>
      <w:sz w:val="20"/>
      <w:szCs w:val="20"/>
    </w:rPr>
  </w:style>
  <w:style w:type="paragraph" w:styleId="Revision">
    <w:name w:val="Revision"/>
    <w:hidden/>
    <w:uiPriority w:val="99"/>
    <w:semiHidden/>
    <w:rsid w:val="009877DE"/>
    <w:rPr>
      <w:sz w:val="20"/>
      <w:szCs w:val="20"/>
    </w:rPr>
  </w:style>
  <w:style w:type="character" w:customStyle="1" w:styleId="BalloonTextChar1">
    <w:name w:val="Balloon Text Char1"/>
    <w:basedOn w:val="DefaultParagraphFont"/>
    <w:uiPriority w:val="99"/>
    <w:semiHidden/>
    <w:locked/>
    <w:rsid w:val="00B351C3"/>
    <w:rPr>
      <w:rFonts w:ascii="Times New Roman" w:hAnsi="Times New Roman" w:cs="Times New Roman"/>
      <w:sz w:val="2"/>
    </w:rPr>
  </w:style>
  <w:style w:type="character" w:styleId="PageNumber">
    <w:name w:val="page number"/>
    <w:basedOn w:val="DefaultParagraphFont"/>
    <w:uiPriority w:val="99"/>
    <w:rsid w:val="00B351C3"/>
    <w:rPr>
      <w:rFonts w:cs="Times New Roman"/>
    </w:rPr>
  </w:style>
  <w:style w:type="paragraph" w:customStyle="1" w:styleId="abcleaders">
    <w:name w:val="abc leaders"/>
    <w:basedOn w:val="Normal"/>
    <w:uiPriority w:val="99"/>
    <w:rsid w:val="00B351C3"/>
    <w:pPr>
      <w:tabs>
        <w:tab w:val="left" w:pos="440"/>
        <w:tab w:val="left" w:pos="900"/>
      </w:tabs>
      <w:spacing w:after="0" w:line="240" w:lineRule="auto"/>
      <w:ind w:left="900" w:hanging="900"/>
      <w:jc w:val="both"/>
    </w:pPr>
    <w:rPr>
      <w:rFonts w:ascii="Times New Roman" w:eastAsia="Times New Roman" w:hAnsi="Times New Roman"/>
      <w:sz w:val="22"/>
      <w:lang w:eastAsia="fr-FR"/>
    </w:rPr>
  </w:style>
  <w:style w:type="character" w:styleId="PlaceholderText">
    <w:name w:val="Placeholder Text"/>
    <w:basedOn w:val="DefaultParagraphFont"/>
    <w:uiPriority w:val="99"/>
    <w:semiHidden/>
    <w:rsid w:val="00B351C3"/>
    <w:rPr>
      <w:rFonts w:cs="Times New Roman"/>
      <w:color w:val="808080"/>
    </w:rPr>
  </w:style>
  <w:style w:type="character" w:customStyle="1" w:styleId="rtqexch">
    <w:name w:val="rtq_exch"/>
    <w:basedOn w:val="DefaultParagraphFont"/>
    <w:uiPriority w:val="99"/>
    <w:rsid w:val="00B351C3"/>
    <w:rPr>
      <w:rFonts w:cs="Times New Roman"/>
    </w:rPr>
  </w:style>
  <w:style w:type="character" w:customStyle="1" w:styleId="rtqdash">
    <w:name w:val="rtq_dash"/>
    <w:basedOn w:val="DefaultParagraphFont"/>
    <w:uiPriority w:val="99"/>
    <w:rsid w:val="00B351C3"/>
    <w:rPr>
      <w:rFonts w:cs="Times New Roman"/>
    </w:rPr>
  </w:style>
  <w:style w:type="paragraph" w:styleId="NormalWeb">
    <w:name w:val="Normal (Web)"/>
    <w:basedOn w:val="Normal"/>
    <w:uiPriority w:val="99"/>
    <w:semiHidden/>
    <w:rsid w:val="00B351C3"/>
    <w:pPr>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timertqticker">
    <w:name w:val="time_rtq_ticker"/>
    <w:basedOn w:val="DefaultParagraphFont"/>
    <w:uiPriority w:val="99"/>
    <w:rsid w:val="00B351C3"/>
    <w:rPr>
      <w:rFonts w:cs="Times New Roman"/>
    </w:rPr>
  </w:style>
  <w:style w:type="character" w:customStyle="1" w:styleId="downr">
    <w:name w:val="down_r"/>
    <w:basedOn w:val="DefaultParagraphFont"/>
    <w:uiPriority w:val="99"/>
    <w:rsid w:val="00B351C3"/>
    <w:rPr>
      <w:rFonts w:cs="Times New Roman"/>
    </w:rPr>
  </w:style>
  <w:style w:type="character" w:customStyle="1" w:styleId="yfi-price-change-red">
    <w:name w:val="yfi-price-change-red"/>
    <w:basedOn w:val="DefaultParagraphFont"/>
    <w:uiPriority w:val="99"/>
    <w:rsid w:val="00B351C3"/>
    <w:rPr>
      <w:rFonts w:cs="Times New Roman"/>
    </w:rPr>
  </w:style>
  <w:style w:type="character" w:customStyle="1" w:styleId="timertq">
    <w:name w:val="time_rtq"/>
    <w:basedOn w:val="DefaultParagraphFont"/>
    <w:uiPriority w:val="99"/>
    <w:rsid w:val="00B351C3"/>
    <w:rPr>
      <w:rFonts w:cs="Times New Roman"/>
    </w:rPr>
  </w:style>
  <w:style w:type="character" w:customStyle="1" w:styleId="add-to-portfolio-button">
    <w:name w:val="add-to-portfolio-button"/>
    <w:basedOn w:val="DefaultParagraphFont"/>
    <w:uiPriority w:val="99"/>
    <w:rsid w:val="00B351C3"/>
    <w:rPr>
      <w:rFonts w:cs="Times New Roman"/>
    </w:rPr>
  </w:style>
  <w:style w:type="character" w:customStyle="1" w:styleId="small">
    <w:name w:val="small"/>
    <w:basedOn w:val="DefaultParagraphFont"/>
    <w:uiPriority w:val="99"/>
    <w:rsid w:val="00B351C3"/>
    <w:rPr>
      <w:rFonts w:cs="Times New Roman"/>
    </w:rPr>
  </w:style>
  <w:style w:type="character" w:customStyle="1" w:styleId="treasuryheader1">
    <w:name w:val="treasury_header1"/>
    <w:basedOn w:val="DefaultParagraphFont"/>
    <w:uiPriority w:val="99"/>
    <w:rsid w:val="00B351C3"/>
    <w:rPr>
      <w:rFonts w:cs="Times New Roman"/>
      <w:b/>
      <w:bCs/>
      <w:color w:val="000000"/>
      <w:sz w:val="17"/>
      <w:szCs w:val="17"/>
    </w:rPr>
  </w:style>
  <w:style w:type="character" w:customStyle="1" w:styleId="tablematurity1">
    <w:name w:val="table_maturity1"/>
    <w:basedOn w:val="DefaultParagraphFont"/>
    <w:uiPriority w:val="99"/>
    <w:rsid w:val="00B351C3"/>
    <w:rPr>
      <w:rFonts w:cs="Times New Roman"/>
    </w:rPr>
  </w:style>
  <w:style w:type="character" w:customStyle="1" w:styleId="tabledata1">
    <w:name w:val="table_data1"/>
    <w:basedOn w:val="DefaultParagraphFont"/>
    <w:uiPriority w:val="99"/>
    <w:rsid w:val="00B351C3"/>
    <w:rPr>
      <w:rFonts w:cs="Times New Roman"/>
    </w:rPr>
  </w:style>
  <w:style w:type="table" w:customStyle="1" w:styleId="TableGrid1">
    <w:name w:val="Table Grid1"/>
    <w:basedOn w:val="TableNormal"/>
    <w:next w:val="TableGrid"/>
    <w:uiPriority w:val="99"/>
    <w:rsid w:val="00B351C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1">
    <w:name w:val="Outline 1"/>
    <w:uiPriority w:val="99"/>
    <w:rsid w:val="00B351C3"/>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rFonts w:ascii="Times New Roman" w:hAnsi="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6738">
      <w:bodyDiv w:val="1"/>
      <w:marLeft w:val="0"/>
      <w:marRight w:val="0"/>
      <w:marTop w:val="0"/>
      <w:marBottom w:val="0"/>
      <w:divBdr>
        <w:top w:val="none" w:sz="0" w:space="0" w:color="auto"/>
        <w:left w:val="none" w:sz="0" w:space="0" w:color="auto"/>
        <w:bottom w:val="none" w:sz="0" w:space="0" w:color="auto"/>
        <w:right w:val="none" w:sz="0" w:space="0" w:color="auto"/>
      </w:divBdr>
    </w:div>
    <w:div w:id="668604340">
      <w:bodyDiv w:val="1"/>
      <w:marLeft w:val="0"/>
      <w:marRight w:val="0"/>
      <w:marTop w:val="0"/>
      <w:marBottom w:val="0"/>
      <w:divBdr>
        <w:top w:val="none" w:sz="0" w:space="0" w:color="auto"/>
        <w:left w:val="none" w:sz="0" w:space="0" w:color="auto"/>
        <w:bottom w:val="none" w:sz="0" w:space="0" w:color="auto"/>
        <w:right w:val="none" w:sz="0" w:space="0" w:color="auto"/>
      </w:divBdr>
    </w:div>
    <w:div w:id="762992783">
      <w:marLeft w:val="0"/>
      <w:marRight w:val="0"/>
      <w:marTop w:val="0"/>
      <w:marBottom w:val="0"/>
      <w:divBdr>
        <w:top w:val="none" w:sz="0" w:space="0" w:color="auto"/>
        <w:left w:val="none" w:sz="0" w:space="0" w:color="auto"/>
        <w:bottom w:val="none" w:sz="0" w:space="0" w:color="auto"/>
        <w:right w:val="none" w:sz="0" w:space="0" w:color="auto"/>
      </w:divBdr>
    </w:div>
    <w:div w:id="762992784">
      <w:marLeft w:val="0"/>
      <w:marRight w:val="0"/>
      <w:marTop w:val="0"/>
      <w:marBottom w:val="0"/>
      <w:divBdr>
        <w:top w:val="none" w:sz="0" w:space="0" w:color="auto"/>
        <w:left w:val="none" w:sz="0" w:space="0" w:color="auto"/>
        <w:bottom w:val="none" w:sz="0" w:space="0" w:color="auto"/>
        <w:right w:val="none" w:sz="0" w:space="0" w:color="auto"/>
      </w:divBdr>
    </w:div>
    <w:div w:id="762992785">
      <w:marLeft w:val="0"/>
      <w:marRight w:val="0"/>
      <w:marTop w:val="0"/>
      <w:marBottom w:val="0"/>
      <w:divBdr>
        <w:top w:val="none" w:sz="0" w:space="0" w:color="auto"/>
        <w:left w:val="none" w:sz="0" w:space="0" w:color="auto"/>
        <w:bottom w:val="none" w:sz="0" w:space="0" w:color="auto"/>
        <w:right w:val="none" w:sz="0" w:space="0" w:color="auto"/>
      </w:divBdr>
    </w:div>
    <w:div w:id="805510651">
      <w:bodyDiv w:val="1"/>
      <w:marLeft w:val="0"/>
      <w:marRight w:val="0"/>
      <w:marTop w:val="0"/>
      <w:marBottom w:val="0"/>
      <w:divBdr>
        <w:top w:val="none" w:sz="0" w:space="0" w:color="auto"/>
        <w:left w:val="none" w:sz="0" w:space="0" w:color="auto"/>
        <w:bottom w:val="none" w:sz="0" w:space="0" w:color="auto"/>
        <w:right w:val="none" w:sz="0" w:space="0" w:color="auto"/>
      </w:divBdr>
    </w:div>
    <w:div w:id="812023353">
      <w:bodyDiv w:val="1"/>
      <w:marLeft w:val="0"/>
      <w:marRight w:val="0"/>
      <w:marTop w:val="0"/>
      <w:marBottom w:val="0"/>
      <w:divBdr>
        <w:top w:val="none" w:sz="0" w:space="0" w:color="auto"/>
        <w:left w:val="none" w:sz="0" w:space="0" w:color="auto"/>
        <w:bottom w:val="none" w:sz="0" w:space="0" w:color="auto"/>
        <w:right w:val="none" w:sz="0" w:space="0" w:color="auto"/>
      </w:divBdr>
    </w:div>
    <w:div w:id="1080252163">
      <w:bodyDiv w:val="1"/>
      <w:marLeft w:val="0"/>
      <w:marRight w:val="0"/>
      <w:marTop w:val="0"/>
      <w:marBottom w:val="0"/>
      <w:divBdr>
        <w:top w:val="none" w:sz="0" w:space="0" w:color="auto"/>
        <w:left w:val="none" w:sz="0" w:space="0" w:color="auto"/>
        <w:bottom w:val="none" w:sz="0" w:space="0" w:color="auto"/>
        <w:right w:val="none" w:sz="0" w:space="0" w:color="auto"/>
      </w:divBdr>
    </w:div>
    <w:div w:id="1101529384">
      <w:bodyDiv w:val="1"/>
      <w:marLeft w:val="0"/>
      <w:marRight w:val="0"/>
      <w:marTop w:val="0"/>
      <w:marBottom w:val="0"/>
      <w:divBdr>
        <w:top w:val="none" w:sz="0" w:space="0" w:color="auto"/>
        <w:left w:val="none" w:sz="0" w:space="0" w:color="auto"/>
        <w:bottom w:val="none" w:sz="0" w:space="0" w:color="auto"/>
        <w:right w:val="none" w:sz="0" w:space="0" w:color="auto"/>
      </w:divBdr>
    </w:div>
    <w:div w:id="1297834609">
      <w:bodyDiv w:val="1"/>
      <w:marLeft w:val="0"/>
      <w:marRight w:val="0"/>
      <w:marTop w:val="0"/>
      <w:marBottom w:val="0"/>
      <w:divBdr>
        <w:top w:val="none" w:sz="0" w:space="0" w:color="auto"/>
        <w:left w:val="none" w:sz="0" w:space="0" w:color="auto"/>
        <w:bottom w:val="none" w:sz="0" w:space="0" w:color="auto"/>
        <w:right w:val="none" w:sz="0" w:space="0" w:color="auto"/>
      </w:divBdr>
    </w:div>
    <w:div w:id="1430810893">
      <w:bodyDiv w:val="1"/>
      <w:marLeft w:val="0"/>
      <w:marRight w:val="0"/>
      <w:marTop w:val="0"/>
      <w:marBottom w:val="0"/>
      <w:divBdr>
        <w:top w:val="none" w:sz="0" w:space="0" w:color="auto"/>
        <w:left w:val="none" w:sz="0" w:space="0" w:color="auto"/>
        <w:bottom w:val="none" w:sz="0" w:space="0" w:color="auto"/>
        <w:right w:val="none" w:sz="0" w:space="0" w:color="auto"/>
      </w:divBdr>
    </w:div>
    <w:div w:id="1654018311">
      <w:bodyDiv w:val="1"/>
      <w:marLeft w:val="0"/>
      <w:marRight w:val="0"/>
      <w:marTop w:val="0"/>
      <w:marBottom w:val="0"/>
      <w:divBdr>
        <w:top w:val="none" w:sz="0" w:space="0" w:color="auto"/>
        <w:left w:val="none" w:sz="0" w:space="0" w:color="auto"/>
        <w:bottom w:val="none" w:sz="0" w:space="0" w:color="auto"/>
        <w:right w:val="none" w:sz="0" w:space="0" w:color="auto"/>
      </w:divBdr>
    </w:div>
    <w:div w:id="1790317347">
      <w:bodyDiv w:val="1"/>
      <w:marLeft w:val="0"/>
      <w:marRight w:val="0"/>
      <w:marTop w:val="0"/>
      <w:marBottom w:val="0"/>
      <w:divBdr>
        <w:top w:val="none" w:sz="0" w:space="0" w:color="auto"/>
        <w:left w:val="none" w:sz="0" w:space="0" w:color="auto"/>
        <w:bottom w:val="none" w:sz="0" w:space="0" w:color="auto"/>
        <w:right w:val="none" w:sz="0" w:space="0" w:color="auto"/>
      </w:divBdr>
    </w:div>
    <w:div w:id="1815373666">
      <w:bodyDiv w:val="1"/>
      <w:marLeft w:val="0"/>
      <w:marRight w:val="0"/>
      <w:marTop w:val="0"/>
      <w:marBottom w:val="0"/>
      <w:divBdr>
        <w:top w:val="none" w:sz="0" w:space="0" w:color="auto"/>
        <w:left w:val="none" w:sz="0" w:space="0" w:color="auto"/>
        <w:bottom w:val="none" w:sz="0" w:space="0" w:color="auto"/>
        <w:right w:val="none" w:sz="0" w:space="0" w:color="auto"/>
      </w:divBdr>
    </w:div>
    <w:div w:id="1923366116">
      <w:bodyDiv w:val="1"/>
      <w:marLeft w:val="0"/>
      <w:marRight w:val="0"/>
      <w:marTop w:val="0"/>
      <w:marBottom w:val="0"/>
      <w:divBdr>
        <w:top w:val="none" w:sz="0" w:space="0" w:color="auto"/>
        <w:left w:val="none" w:sz="0" w:space="0" w:color="auto"/>
        <w:bottom w:val="none" w:sz="0" w:space="0" w:color="auto"/>
        <w:right w:val="none" w:sz="0" w:space="0" w:color="auto"/>
      </w:divBdr>
    </w:div>
    <w:div w:id="2073772928">
      <w:bodyDiv w:val="1"/>
      <w:marLeft w:val="0"/>
      <w:marRight w:val="0"/>
      <w:marTop w:val="0"/>
      <w:marBottom w:val="0"/>
      <w:divBdr>
        <w:top w:val="none" w:sz="0" w:space="0" w:color="auto"/>
        <w:left w:val="none" w:sz="0" w:space="0" w:color="auto"/>
        <w:bottom w:val="none" w:sz="0" w:space="0" w:color="auto"/>
        <w:right w:val="none" w:sz="0" w:space="0" w:color="auto"/>
      </w:divBdr>
    </w:div>
    <w:div w:id="21365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601</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Mini Case Solutions</vt:lpstr>
    </vt:vector>
  </TitlesOfParts>
  <Company>UBC Okanagan</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Case Solutions</dc:title>
  <dc:creator>UBC O User</dc:creator>
  <cp:lastModifiedBy>Gleason, Peter</cp:lastModifiedBy>
  <cp:revision>3</cp:revision>
  <cp:lastPrinted>2010-03-27T07:15:00Z</cp:lastPrinted>
  <dcterms:created xsi:type="dcterms:W3CDTF">2019-09-23T14:17:00Z</dcterms:created>
  <dcterms:modified xsi:type="dcterms:W3CDTF">2019-09-23T14:19:00Z</dcterms:modified>
</cp:coreProperties>
</file>