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10E" w:rsidRPr="00E24DB0" w:rsidRDefault="007D743E" w:rsidP="001B5162">
      <w:pPr>
        <w:jc w:val="center"/>
        <w:rPr>
          <w:b/>
        </w:rPr>
      </w:pPr>
      <w:r w:rsidRPr="007D743E">
        <w:rPr>
          <w:b/>
        </w:rPr>
        <w:t>Chapter 1: An Introduction to Finance</w:t>
      </w:r>
    </w:p>
    <w:p w:rsidR="0007410E" w:rsidRPr="00E24DB0" w:rsidRDefault="0007410E" w:rsidP="001B5162">
      <w:pPr>
        <w:jc w:val="center"/>
        <w:rPr>
          <w:b/>
        </w:rPr>
      </w:pPr>
    </w:p>
    <w:p w:rsidR="0007410E" w:rsidRPr="00E24DB0" w:rsidRDefault="007D743E" w:rsidP="001B5162">
      <w:pPr>
        <w:rPr>
          <w:b/>
        </w:rPr>
      </w:pPr>
      <w:r>
        <w:rPr>
          <w:b/>
        </w:rPr>
        <w:t>Multiple Choice Questions</w:t>
      </w:r>
    </w:p>
    <w:p w:rsidR="00F03D90" w:rsidRPr="00E24DB0" w:rsidRDefault="007D743E" w:rsidP="001B5162">
      <w:r>
        <w:t xml:space="preserve">1. </w:t>
      </w:r>
      <w:r w:rsidR="00AD58FD">
        <w:t xml:space="preserve">Section: </w:t>
      </w:r>
      <w:proofErr w:type="gramStart"/>
      <w:r>
        <w:t xml:space="preserve">1.1 </w:t>
      </w:r>
      <w:r w:rsidR="003F7362">
        <w:t>Finance</w:t>
      </w:r>
      <w:proofErr w:type="gramEnd"/>
      <w:r w:rsidR="003F7362">
        <w:t xml:space="preserve"> Defined</w:t>
      </w:r>
    </w:p>
    <w:p w:rsidR="00F03D90" w:rsidRPr="00E24DB0" w:rsidRDefault="007D743E" w:rsidP="001B5162">
      <w:pPr>
        <w:tabs>
          <w:tab w:val="left" w:pos="360"/>
        </w:tabs>
      </w:pPr>
      <w:r>
        <w:t>Learning objective: 1.</w:t>
      </w:r>
      <w:r w:rsidR="005E73EB">
        <w:t>1</w:t>
      </w:r>
    </w:p>
    <w:p w:rsidR="00F03D90" w:rsidRPr="00E24DB0" w:rsidRDefault="00E24DB0" w:rsidP="001B5162">
      <w:pPr>
        <w:tabs>
          <w:tab w:val="left" w:pos="360"/>
        </w:tabs>
      </w:pPr>
      <w:r>
        <w:t>Level of Difficulty</w:t>
      </w:r>
      <w:r w:rsidR="007D743E">
        <w:t xml:space="preserve">: </w:t>
      </w:r>
      <w:r w:rsidR="00977598">
        <w:t>Basic</w:t>
      </w:r>
    </w:p>
    <w:p w:rsidR="000601C4" w:rsidRPr="00E24DB0" w:rsidRDefault="007D743E" w:rsidP="001B5162">
      <w:pPr>
        <w:tabs>
          <w:tab w:val="left" w:pos="360"/>
        </w:tabs>
      </w:pPr>
      <w:r>
        <w:t xml:space="preserve">Solution: </w:t>
      </w:r>
      <w:r w:rsidR="005E73EB">
        <w:t>A</w:t>
      </w:r>
    </w:p>
    <w:p w:rsidR="000601C4" w:rsidRPr="00E24DB0" w:rsidRDefault="000601C4" w:rsidP="001B5162"/>
    <w:p w:rsidR="00F03D90" w:rsidRPr="00E24DB0" w:rsidRDefault="007D743E" w:rsidP="001B5162">
      <w:r>
        <w:rPr>
          <w:lang w:val="en-US"/>
        </w:rPr>
        <w:t xml:space="preserve">2. </w:t>
      </w:r>
      <w:r w:rsidR="00AD58FD">
        <w:t xml:space="preserve">Section: </w:t>
      </w:r>
      <w:r>
        <w:t>1.</w:t>
      </w:r>
      <w:r w:rsidR="003F7362">
        <w:t xml:space="preserve">2 </w:t>
      </w:r>
      <w:r>
        <w:t>Real versus Financial Assets</w:t>
      </w:r>
    </w:p>
    <w:p w:rsidR="00F03D90" w:rsidRPr="00E24DB0" w:rsidRDefault="007D743E" w:rsidP="001B5162">
      <w:pPr>
        <w:tabs>
          <w:tab w:val="left" w:pos="360"/>
        </w:tabs>
      </w:pPr>
      <w:r>
        <w:t>Learning objective: 1.2</w:t>
      </w:r>
    </w:p>
    <w:p w:rsidR="00F03D90" w:rsidRPr="00E24DB0" w:rsidRDefault="00E24DB0" w:rsidP="001B5162">
      <w:pPr>
        <w:tabs>
          <w:tab w:val="left" w:pos="360"/>
        </w:tabs>
      </w:pPr>
      <w:r>
        <w:t>Level of Difficulty</w:t>
      </w:r>
      <w:r w:rsidR="007D743E">
        <w:t xml:space="preserve">: </w:t>
      </w:r>
      <w:r w:rsidR="00977598">
        <w:t>Intermediate</w:t>
      </w:r>
    </w:p>
    <w:p w:rsidR="00F03D90" w:rsidRPr="00E24DB0" w:rsidRDefault="007D743E" w:rsidP="001B5162">
      <w:pPr>
        <w:tabs>
          <w:tab w:val="left" w:pos="360"/>
        </w:tabs>
      </w:pPr>
      <w:r>
        <w:t>Solution: C</w:t>
      </w:r>
    </w:p>
    <w:p w:rsidR="0007410E" w:rsidRPr="00E24DB0" w:rsidRDefault="00E55214" w:rsidP="001B5162">
      <w:r>
        <w:t xml:space="preserve">Stocks are financial assets. </w:t>
      </w:r>
      <w:r w:rsidR="007D743E">
        <w:t>Examples of real assets are residential structures, non-residential structures, machinery and equipment, durables, inventories, and land.</w:t>
      </w:r>
    </w:p>
    <w:p w:rsidR="007E77EC" w:rsidRPr="00E24DB0" w:rsidRDefault="007E77EC" w:rsidP="001B5162"/>
    <w:p w:rsidR="001B5162" w:rsidRPr="00E24DB0" w:rsidRDefault="007D743E" w:rsidP="001B5162">
      <w:r>
        <w:t xml:space="preserve">3. </w:t>
      </w:r>
      <w:r w:rsidR="00AD58FD">
        <w:t xml:space="preserve">Section: </w:t>
      </w:r>
      <w:r>
        <w:t>1.</w:t>
      </w:r>
      <w:r w:rsidR="003F7362">
        <w:t xml:space="preserve">3 </w:t>
      </w:r>
      <w:proofErr w:type="gramStart"/>
      <w:r>
        <w:t>The</w:t>
      </w:r>
      <w:proofErr w:type="gramEnd"/>
      <w:r>
        <w:t xml:space="preserve"> Financial System</w:t>
      </w:r>
    </w:p>
    <w:p w:rsidR="00F03D90" w:rsidRPr="00E24DB0" w:rsidRDefault="007D743E" w:rsidP="001B5162">
      <w:pPr>
        <w:tabs>
          <w:tab w:val="left" w:pos="360"/>
        </w:tabs>
      </w:pPr>
      <w:r>
        <w:t>Learning objective: 1.3</w:t>
      </w:r>
    </w:p>
    <w:p w:rsidR="00F03D90" w:rsidRPr="00E24DB0" w:rsidRDefault="00E24DB0" w:rsidP="001B5162">
      <w:pPr>
        <w:tabs>
          <w:tab w:val="left" w:pos="360"/>
        </w:tabs>
      </w:pPr>
      <w:r>
        <w:t>Level of Difficulty</w:t>
      </w:r>
      <w:r w:rsidR="007D743E">
        <w:t xml:space="preserve">: </w:t>
      </w:r>
      <w:r w:rsidR="00977598">
        <w:t>Basic</w:t>
      </w:r>
    </w:p>
    <w:p w:rsidR="00F03D90" w:rsidRPr="00E24DB0" w:rsidRDefault="007D743E" w:rsidP="001B5162">
      <w:pPr>
        <w:tabs>
          <w:tab w:val="left" w:pos="360"/>
        </w:tabs>
      </w:pPr>
      <w:r>
        <w:t>Solution: B</w:t>
      </w:r>
    </w:p>
    <w:p w:rsidR="000601C4" w:rsidRPr="00E24DB0" w:rsidRDefault="000601C4" w:rsidP="001B5162"/>
    <w:p w:rsidR="008932D1" w:rsidRPr="00E24DB0" w:rsidRDefault="007D743E" w:rsidP="001B5162">
      <w:r>
        <w:rPr>
          <w:lang w:val="en-US"/>
        </w:rPr>
        <w:t xml:space="preserve">4. </w:t>
      </w:r>
      <w:r w:rsidR="00AD58FD">
        <w:t>Section:</w:t>
      </w:r>
      <w:r>
        <w:t xml:space="preserve"> 1.</w:t>
      </w:r>
      <w:r w:rsidR="003F7362">
        <w:t xml:space="preserve">3 </w:t>
      </w:r>
      <w:proofErr w:type="gramStart"/>
      <w:r>
        <w:t>The</w:t>
      </w:r>
      <w:proofErr w:type="gramEnd"/>
      <w:r>
        <w:t xml:space="preserve"> Financial System</w:t>
      </w:r>
    </w:p>
    <w:p w:rsidR="008932D1" w:rsidRPr="00E24DB0" w:rsidRDefault="007D743E" w:rsidP="001B5162">
      <w:pPr>
        <w:tabs>
          <w:tab w:val="left" w:pos="360"/>
        </w:tabs>
      </w:pPr>
      <w:r>
        <w:t>Learning objective: 1.3</w:t>
      </w:r>
    </w:p>
    <w:p w:rsidR="008932D1" w:rsidRPr="00E24DB0" w:rsidRDefault="00E24DB0" w:rsidP="001B5162">
      <w:pPr>
        <w:tabs>
          <w:tab w:val="left" w:pos="360"/>
        </w:tabs>
      </w:pPr>
      <w:r>
        <w:t>Level of Difficulty</w:t>
      </w:r>
      <w:r w:rsidR="007D743E">
        <w:t xml:space="preserve">: </w:t>
      </w:r>
      <w:r w:rsidR="00977598">
        <w:t>Intermediate</w:t>
      </w:r>
    </w:p>
    <w:p w:rsidR="008932D1" w:rsidRPr="00E24DB0" w:rsidRDefault="007D743E" w:rsidP="001B5162">
      <w:pPr>
        <w:tabs>
          <w:tab w:val="left" w:pos="360"/>
        </w:tabs>
      </w:pPr>
      <w:r>
        <w:t>Solution: A</w:t>
      </w:r>
    </w:p>
    <w:p w:rsidR="008932D1" w:rsidRPr="00E24DB0" w:rsidRDefault="007D743E" w:rsidP="001B5162">
      <w:r>
        <w:t>In the financial system, households are the primary fund providers to the government and businesses.</w:t>
      </w:r>
    </w:p>
    <w:p w:rsidR="008932D1" w:rsidRPr="00E24DB0" w:rsidRDefault="008932D1" w:rsidP="001B5162"/>
    <w:p w:rsidR="00F03D90" w:rsidRPr="00E24DB0" w:rsidRDefault="007D743E" w:rsidP="001B5162">
      <w:r>
        <w:rPr>
          <w:lang w:val="en-US"/>
        </w:rPr>
        <w:t xml:space="preserve">5. </w:t>
      </w:r>
      <w:r w:rsidR="00AD58FD">
        <w:t>Section:</w:t>
      </w:r>
      <w:r>
        <w:t xml:space="preserve"> 1.</w:t>
      </w:r>
      <w:r w:rsidR="003F7362">
        <w:t xml:space="preserve">3 </w:t>
      </w:r>
      <w:proofErr w:type="gramStart"/>
      <w:r>
        <w:t>The</w:t>
      </w:r>
      <w:proofErr w:type="gramEnd"/>
      <w:r>
        <w:t xml:space="preserve"> Financial System</w:t>
      </w:r>
    </w:p>
    <w:p w:rsidR="00F03D90" w:rsidRPr="00E24DB0" w:rsidRDefault="007D743E" w:rsidP="001B5162">
      <w:pPr>
        <w:tabs>
          <w:tab w:val="left" w:pos="360"/>
        </w:tabs>
      </w:pPr>
      <w:r>
        <w:t>Learning objective: 1.3</w:t>
      </w:r>
    </w:p>
    <w:p w:rsidR="00F03D90" w:rsidRPr="00E24DB0" w:rsidRDefault="00E24DB0" w:rsidP="001B5162">
      <w:pPr>
        <w:tabs>
          <w:tab w:val="left" w:pos="360"/>
        </w:tabs>
      </w:pPr>
      <w:r>
        <w:t>Level of Difficulty</w:t>
      </w:r>
      <w:r w:rsidR="007D743E">
        <w:t xml:space="preserve">: </w:t>
      </w:r>
      <w:r w:rsidR="00977598">
        <w:t>Intermediate</w:t>
      </w:r>
    </w:p>
    <w:p w:rsidR="00F03D90" w:rsidRPr="00E24DB0" w:rsidRDefault="007D743E" w:rsidP="001B5162">
      <w:pPr>
        <w:tabs>
          <w:tab w:val="left" w:pos="360"/>
        </w:tabs>
      </w:pPr>
      <w:r>
        <w:t>Solution: C</w:t>
      </w:r>
    </w:p>
    <w:p w:rsidR="000601C4" w:rsidRPr="00E24DB0" w:rsidRDefault="007D743E" w:rsidP="001B5162">
      <w:r>
        <w:t>Banks, pension funds, and insurance firms do transform the nature of their underlying financial securities. However, mutual funds do not transform the nature of the underlying financial securities.</w:t>
      </w:r>
    </w:p>
    <w:p w:rsidR="000601C4" w:rsidRPr="00E24DB0" w:rsidRDefault="000601C4" w:rsidP="001B5162"/>
    <w:p w:rsidR="001B5162" w:rsidRPr="00E24DB0" w:rsidRDefault="007D743E" w:rsidP="001B5162">
      <w:r>
        <w:t xml:space="preserve">6. </w:t>
      </w:r>
      <w:r w:rsidR="00AD58FD">
        <w:t xml:space="preserve">Section: </w:t>
      </w:r>
      <w:r>
        <w:t>1.</w:t>
      </w:r>
      <w:r w:rsidR="003F7362">
        <w:t xml:space="preserve">4 </w:t>
      </w:r>
      <w:r>
        <w:t>Financial Instruments and Markets</w:t>
      </w:r>
    </w:p>
    <w:p w:rsidR="00F03D90" w:rsidRPr="00E24DB0" w:rsidRDefault="007D743E" w:rsidP="001B5162">
      <w:pPr>
        <w:tabs>
          <w:tab w:val="left" w:pos="360"/>
        </w:tabs>
      </w:pPr>
      <w:r>
        <w:t>Learning objective: 1.</w:t>
      </w:r>
      <w:r w:rsidR="003F7362">
        <w:t>4</w:t>
      </w:r>
    </w:p>
    <w:p w:rsidR="00F03D90" w:rsidRPr="00E24DB0" w:rsidRDefault="00E24DB0" w:rsidP="001B5162">
      <w:pPr>
        <w:tabs>
          <w:tab w:val="left" w:pos="360"/>
        </w:tabs>
      </w:pPr>
      <w:r>
        <w:t>Level of Difficulty</w:t>
      </w:r>
      <w:r w:rsidR="007D743E">
        <w:t xml:space="preserve">: </w:t>
      </w:r>
      <w:r w:rsidR="00977598">
        <w:t>Intermediate</w:t>
      </w:r>
    </w:p>
    <w:p w:rsidR="000601C4" w:rsidRDefault="007D743E" w:rsidP="001B5162">
      <w:pPr>
        <w:tabs>
          <w:tab w:val="left" w:pos="360"/>
        </w:tabs>
      </w:pPr>
      <w:r>
        <w:t>Solution: C</w:t>
      </w:r>
    </w:p>
    <w:p w:rsidR="005E73EB" w:rsidRDefault="005E73EB" w:rsidP="001B5162">
      <w:pPr>
        <w:tabs>
          <w:tab w:val="left" w:pos="360"/>
        </w:tabs>
      </w:pPr>
    </w:p>
    <w:p w:rsidR="005E73EB" w:rsidRDefault="005E73EB" w:rsidP="001B5162">
      <w:pPr>
        <w:tabs>
          <w:tab w:val="left" w:pos="360"/>
        </w:tabs>
      </w:pPr>
      <w:r>
        <w:t>7. Section 1.</w:t>
      </w:r>
      <w:r w:rsidR="003F7362">
        <w:t xml:space="preserve">5 </w:t>
      </w:r>
      <w:proofErr w:type="gramStart"/>
      <w:r>
        <w:t>The</w:t>
      </w:r>
      <w:proofErr w:type="gramEnd"/>
      <w:r>
        <w:t xml:space="preserve"> Global Financial Community</w:t>
      </w:r>
    </w:p>
    <w:p w:rsidR="005E73EB" w:rsidRDefault="005E73EB" w:rsidP="001B5162">
      <w:pPr>
        <w:tabs>
          <w:tab w:val="left" w:pos="360"/>
        </w:tabs>
      </w:pPr>
      <w:r>
        <w:t>Learning objective: 1.5</w:t>
      </w:r>
    </w:p>
    <w:p w:rsidR="005E73EB" w:rsidRPr="00E24DB0" w:rsidRDefault="005E73EB" w:rsidP="005E73EB">
      <w:pPr>
        <w:tabs>
          <w:tab w:val="left" w:pos="360"/>
        </w:tabs>
      </w:pPr>
      <w:r>
        <w:t xml:space="preserve">Level of Difficulty: </w:t>
      </w:r>
      <w:r w:rsidR="00977598">
        <w:t>Intermediate</w:t>
      </w:r>
    </w:p>
    <w:p w:rsidR="005E73EB" w:rsidRDefault="005E73EB" w:rsidP="005E73EB">
      <w:pPr>
        <w:tabs>
          <w:tab w:val="left" w:pos="360"/>
        </w:tabs>
      </w:pPr>
      <w:r>
        <w:t>Solution: C</w:t>
      </w:r>
    </w:p>
    <w:p w:rsidR="00773F88" w:rsidRPr="00E24DB0" w:rsidRDefault="00773F88" w:rsidP="001B5162"/>
    <w:p w:rsidR="005E73EB" w:rsidRDefault="005E73EB" w:rsidP="005E73EB">
      <w:pPr>
        <w:tabs>
          <w:tab w:val="left" w:pos="360"/>
        </w:tabs>
      </w:pPr>
      <w:r>
        <w:t>8. Section 1.</w:t>
      </w:r>
      <w:r w:rsidR="003F7362">
        <w:t xml:space="preserve">5 </w:t>
      </w:r>
      <w:proofErr w:type="gramStart"/>
      <w:r>
        <w:t>The</w:t>
      </w:r>
      <w:proofErr w:type="gramEnd"/>
      <w:r>
        <w:t xml:space="preserve"> Global Financial Community</w:t>
      </w:r>
    </w:p>
    <w:p w:rsidR="005E73EB" w:rsidRDefault="005E73EB" w:rsidP="005E73EB">
      <w:pPr>
        <w:tabs>
          <w:tab w:val="left" w:pos="360"/>
        </w:tabs>
      </w:pPr>
      <w:r>
        <w:lastRenderedPageBreak/>
        <w:t>Learning objective: 1.5</w:t>
      </w:r>
    </w:p>
    <w:p w:rsidR="005E73EB" w:rsidRPr="00E24DB0" w:rsidRDefault="005E73EB" w:rsidP="005E73EB">
      <w:pPr>
        <w:tabs>
          <w:tab w:val="left" w:pos="360"/>
        </w:tabs>
      </w:pPr>
      <w:r>
        <w:t xml:space="preserve">Level of Difficulty: </w:t>
      </w:r>
      <w:r w:rsidR="00977598">
        <w:t>Intermediate</w:t>
      </w:r>
    </w:p>
    <w:p w:rsidR="005E73EB" w:rsidRDefault="005E73EB" w:rsidP="005E73EB">
      <w:pPr>
        <w:tabs>
          <w:tab w:val="left" w:pos="360"/>
        </w:tabs>
      </w:pPr>
      <w:r>
        <w:t>Solution: D</w:t>
      </w:r>
    </w:p>
    <w:p w:rsidR="005E73EB" w:rsidRDefault="005E73EB" w:rsidP="001B5162">
      <w:pPr>
        <w:autoSpaceDE w:val="0"/>
        <w:autoSpaceDN w:val="0"/>
        <w:adjustRightInd w:val="0"/>
        <w:rPr>
          <w:b/>
          <w:bCs/>
        </w:rPr>
      </w:pPr>
    </w:p>
    <w:p w:rsidR="0007410E" w:rsidRPr="00E24DB0" w:rsidRDefault="007D743E" w:rsidP="001B5162">
      <w:pPr>
        <w:autoSpaceDE w:val="0"/>
        <w:autoSpaceDN w:val="0"/>
        <w:adjustRightInd w:val="0"/>
        <w:rPr>
          <w:b/>
          <w:bCs/>
          <w:lang w:val="en-US"/>
        </w:rPr>
      </w:pPr>
      <w:r>
        <w:rPr>
          <w:b/>
          <w:bCs/>
          <w:lang w:val="en-US"/>
        </w:rPr>
        <w:t>Practice Problems</w:t>
      </w:r>
    </w:p>
    <w:p w:rsidR="003F7362" w:rsidRPr="00C7506A" w:rsidRDefault="003F7362" w:rsidP="00977598">
      <w:pPr>
        <w:rPr>
          <w:b/>
          <w:lang w:val="en-US"/>
        </w:rPr>
      </w:pPr>
      <w:r>
        <w:rPr>
          <w:b/>
          <w:lang w:val="en-US"/>
        </w:rPr>
        <w:t>Intermediate</w:t>
      </w:r>
    </w:p>
    <w:p w:rsidR="00F03D90" w:rsidRPr="00E24DB0" w:rsidRDefault="005E73EB" w:rsidP="001B5162">
      <w:r>
        <w:rPr>
          <w:bCs/>
          <w:lang w:val="en-US"/>
        </w:rPr>
        <w:t>9</w:t>
      </w:r>
      <w:r w:rsidR="007D743E">
        <w:rPr>
          <w:bCs/>
          <w:lang w:val="en-US"/>
        </w:rPr>
        <w:t xml:space="preserve">. </w:t>
      </w:r>
      <w:r w:rsidR="00AD58FD">
        <w:t xml:space="preserve">Section: </w:t>
      </w:r>
      <w:r w:rsidR="007D743E">
        <w:t>1.</w:t>
      </w:r>
      <w:r w:rsidR="003F7362">
        <w:t xml:space="preserve">2 </w:t>
      </w:r>
      <w:r w:rsidR="007D743E">
        <w:t>Real versus Financial Assets</w:t>
      </w:r>
    </w:p>
    <w:p w:rsidR="00F03D90" w:rsidRPr="00E24DB0" w:rsidRDefault="007D743E" w:rsidP="001B5162">
      <w:pPr>
        <w:tabs>
          <w:tab w:val="left" w:pos="360"/>
        </w:tabs>
      </w:pPr>
      <w:r>
        <w:t>Learning objective: 1.2</w:t>
      </w:r>
    </w:p>
    <w:p w:rsidR="00F03D90" w:rsidRPr="00E24DB0" w:rsidRDefault="00E24DB0" w:rsidP="001B5162">
      <w:pPr>
        <w:tabs>
          <w:tab w:val="left" w:pos="360"/>
        </w:tabs>
      </w:pPr>
      <w:r>
        <w:t>Level of Difficulty</w:t>
      </w:r>
      <w:r w:rsidR="007D743E">
        <w:t xml:space="preserve">: </w:t>
      </w:r>
      <w:r w:rsidR="00977598">
        <w:t>Intermediate</w:t>
      </w:r>
    </w:p>
    <w:p w:rsidR="00F03D90" w:rsidRPr="00E24DB0" w:rsidRDefault="007D743E" w:rsidP="001B5162">
      <w:pPr>
        <w:tabs>
          <w:tab w:val="left" w:pos="360"/>
        </w:tabs>
        <w:autoSpaceDE w:val="0"/>
        <w:autoSpaceDN w:val="0"/>
        <w:adjustRightInd w:val="0"/>
        <w:rPr>
          <w:bCs/>
          <w:lang w:val="en-US"/>
        </w:rPr>
      </w:pPr>
      <w:r>
        <w:rPr>
          <w:bCs/>
          <w:lang w:val="en-US"/>
        </w:rPr>
        <w:t xml:space="preserve">Solution: </w:t>
      </w:r>
    </w:p>
    <w:p w:rsidR="00C05870" w:rsidRPr="00E24DB0" w:rsidRDefault="007D743E" w:rsidP="001B5162">
      <w:pPr>
        <w:tabs>
          <w:tab w:val="left" w:pos="360"/>
        </w:tabs>
        <w:autoSpaceDE w:val="0"/>
        <w:autoSpaceDN w:val="0"/>
        <w:adjustRightInd w:val="0"/>
      </w:pPr>
      <w:r>
        <w:t>Balance sheet:</w:t>
      </w:r>
    </w:p>
    <w:p w:rsidR="00C05870" w:rsidRPr="00E24DB0" w:rsidRDefault="007D743E" w:rsidP="001B5162">
      <w:r>
        <w:t>Residential structures: $1,000+ $3,000+$1,500 = $5,500</w:t>
      </w:r>
    </w:p>
    <w:p w:rsidR="00C05870" w:rsidRPr="00E24DB0" w:rsidRDefault="007D743E" w:rsidP="001B5162">
      <w:r>
        <w:t>As there are no foreign assets or liabilities, the net worth or equity of the island is $5,500</w:t>
      </w:r>
    </w:p>
    <w:p w:rsidR="00C05870" w:rsidRPr="00E24DB0" w:rsidRDefault="00C05870" w:rsidP="001B5162"/>
    <w:p w:rsidR="00C05870" w:rsidRPr="00E24DB0" w:rsidRDefault="007D743E" w:rsidP="001B5162">
      <w:r>
        <w:t>To deal with Fred and Robinson</w:t>
      </w:r>
      <w:r w:rsidR="004509D3">
        <w:t>’</w:t>
      </w:r>
      <w:r>
        <w:t>s debts:</w:t>
      </w:r>
    </w:p>
    <w:p w:rsidR="00C05870" w:rsidRPr="00E24DB0" w:rsidRDefault="00C05870" w:rsidP="001B5162"/>
    <w:tbl>
      <w:tblPr>
        <w:tblW w:w="0" w:type="auto"/>
        <w:jc w:val="center"/>
        <w:tblBorders>
          <w:top w:val="single" w:sz="12" w:space="0" w:color="000000"/>
          <w:left w:val="single" w:sz="6" w:space="0" w:color="000000"/>
          <w:bottom w:val="single" w:sz="12" w:space="0" w:color="000000"/>
          <w:right w:val="single" w:sz="6" w:space="0" w:color="000000"/>
        </w:tblBorders>
        <w:tblLook w:val="01E0" w:firstRow="1" w:lastRow="1" w:firstColumn="1" w:lastColumn="1" w:noHBand="0" w:noVBand="0"/>
      </w:tblPr>
      <w:tblGrid>
        <w:gridCol w:w="3192"/>
        <w:gridCol w:w="1236"/>
        <w:gridCol w:w="1440"/>
      </w:tblGrid>
      <w:tr w:rsidR="00C05870" w:rsidRPr="00E24DB0">
        <w:trPr>
          <w:jc w:val="center"/>
        </w:trPr>
        <w:tc>
          <w:tcPr>
            <w:tcW w:w="3192" w:type="dxa"/>
            <w:tcBorders>
              <w:top w:val="single" w:sz="12" w:space="0" w:color="000000"/>
              <w:bottom w:val="single" w:sz="6" w:space="0" w:color="000000"/>
            </w:tcBorders>
            <w:shd w:val="clear" w:color="auto" w:fill="auto"/>
          </w:tcPr>
          <w:p w:rsidR="00C05870" w:rsidRPr="00E24DB0" w:rsidRDefault="00C05870" w:rsidP="001B5162">
            <w:pPr>
              <w:widowControl w:val="0"/>
              <w:autoSpaceDE w:val="0"/>
              <w:autoSpaceDN w:val="0"/>
              <w:adjustRightInd w:val="0"/>
            </w:pPr>
          </w:p>
        </w:tc>
        <w:tc>
          <w:tcPr>
            <w:tcW w:w="1236" w:type="dxa"/>
            <w:tcBorders>
              <w:top w:val="single" w:sz="12" w:space="0" w:color="000000"/>
              <w:bottom w:val="single" w:sz="6" w:space="0" w:color="000000"/>
            </w:tcBorders>
            <w:shd w:val="clear" w:color="auto" w:fill="auto"/>
          </w:tcPr>
          <w:p w:rsidR="00C05870" w:rsidRPr="00E24DB0" w:rsidRDefault="007D743E" w:rsidP="001B5162">
            <w:pPr>
              <w:widowControl w:val="0"/>
              <w:autoSpaceDE w:val="0"/>
              <w:autoSpaceDN w:val="0"/>
              <w:adjustRightInd w:val="0"/>
            </w:pPr>
            <w:r w:rsidRPr="007D743E">
              <w:t>Assets</w:t>
            </w:r>
          </w:p>
        </w:tc>
        <w:tc>
          <w:tcPr>
            <w:tcW w:w="1440" w:type="dxa"/>
            <w:tcBorders>
              <w:top w:val="single" w:sz="12" w:space="0" w:color="000000"/>
              <w:bottom w:val="single" w:sz="6" w:space="0" w:color="000000"/>
            </w:tcBorders>
            <w:shd w:val="clear" w:color="auto" w:fill="auto"/>
          </w:tcPr>
          <w:p w:rsidR="00C05870" w:rsidRPr="00E24DB0" w:rsidRDefault="007D743E" w:rsidP="001B5162">
            <w:pPr>
              <w:widowControl w:val="0"/>
              <w:autoSpaceDE w:val="0"/>
              <w:autoSpaceDN w:val="0"/>
              <w:adjustRightInd w:val="0"/>
            </w:pPr>
            <w:r w:rsidRPr="007D743E">
              <w:t>Liabilities</w:t>
            </w: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Fred</w:t>
            </w:r>
          </w:p>
        </w:tc>
        <w:tc>
          <w:tcPr>
            <w:tcW w:w="1236" w:type="dxa"/>
            <w:shd w:val="clear" w:color="auto" w:fill="auto"/>
          </w:tcPr>
          <w:p w:rsidR="00C05870" w:rsidRPr="00E24DB0" w:rsidRDefault="00C05870" w:rsidP="001B5162">
            <w:pPr>
              <w:widowControl w:val="0"/>
              <w:autoSpaceDE w:val="0"/>
              <w:autoSpaceDN w:val="0"/>
              <w:adjustRightInd w:val="0"/>
            </w:pP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House</w:t>
            </w:r>
          </w:p>
        </w:tc>
        <w:tc>
          <w:tcPr>
            <w:tcW w:w="1236" w:type="dxa"/>
            <w:shd w:val="clear" w:color="auto" w:fill="auto"/>
          </w:tcPr>
          <w:p w:rsidR="00C05870" w:rsidRPr="00E24DB0" w:rsidRDefault="007D743E" w:rsidP="001B5162">
            <w:pPr>
              <w:widowControl w:val="0"/>
              <w:autoSpaceDE w:val="0"/>
              <w:autoSpaceDN w:val="0"/>
              <w:adjustRightInd w:val="0"/>
            </w:pPr>
            <w:r w:rsidRPr="007D743E">
              <w:t>$1,000</w:t>
            </w: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Debt to Friday</w:t>
            </w:r>
          </w:p>
        </w:tc>
        <w:tc>
          <w:tcPr>
            <w:tcW w:w="1236" w:type="dxa"/>
            <w:shd w:val="clear" w:color="auto" w:fill="auto"/>
          </w:tcPr>
          <w:p w:rsidR="00C05870" w:rsidRPr="00E24DB0" w:rsidRDefault="00C05870" w:rsidP="001B5162">
            <w:pPr>
              <w:widowControl w:val="0"/>
              <w:autoSpaceDE w:val="0"/>
              <w:autoSpaceDN w:val="0"/>
              <w:adjustRightInd w:val="0"/>
            </w:pPr>
          </w:p>
        </w:tc>
        <w:tc>
          <w:tcPr>
            <w:tcW w:w="1440" w:type="dxa"/>
            <w:shd w:val="clear" w:color="auto" w:fill="auto"/>
          </w:tcPr>
          <w:p w:rsidR="00C05870" w:rsidRPr="00E24DB0" w:rsidRDefault="007D743E" w:rsidP="001B5162">
            <w:pPr>
              <w:widowControl w:val="0"/>
              <w:autoSpaceDE w:val="0"/>
              <w:autoSpaceDN w:val="0"/>
              <w:adjustRightInd w:val="0"/>
            </w:pPr>
            <w:r w:rsidRPr="007D743E">
              <w:t>$500</w:t>
            </w: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Robinson</w:t>
            </w:r>
          </w:p>
        </w:tc>
        <w:tc>
          <w:tcPr>
            <w:tcW w:w="1236" w:type="dxa"/>
            <w:shd w:val="clear" w:color="auto" w:fill="auto"/>
          </w:tcPr>
          <w:p w:rsidR="00C05870" w:rsidRPr="00E24DB0" w:rsidRDefault="00C05870" w:rsidP="001B5162">
            <w:pPr>
              <w:widowControl w:val="0"/>
              <w:autoSpaceDE w:val="0"/>
              <w:autoSpaceDN w:val="0"/>
              <w:adjustRightInd w:val="0"/>
            </w:pP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House</w:t>
            </w:r>
          </w:p>
        </w:tc>
        <w:tc>
          <w:tcPr>
            <w:tcW w:w="1236" w:type="dxa"/>
            <w:shd w:val="clear" w:color="auto" w:fill="auto"/>
          </w:tcPr>
          <w:p w:rsidR="00C05870" w:rsidRPr="00E24DB0" w:rsidRDefault="007D743E" w:rsidP="001B5162">
            <w:pPr>
              <w:widowControl w:val="0"/>
              <w:tabs>
                <w:tab w:val="left" w:pos="480"/>
              </w:tabs>
              <w:autoSpaceDE w:val="0"/>
              <w:autoSpaceDN w:val="0"/>
              <w:adjustRightInd w:val="0"/>
            </w:pPr>
            <w:r w:rsidRPr="007D743E">
              <w:t>3,000</w:t>
            </w: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Debt to Friday</w:t>
            </w:r>
          </w:p>
        </w:tc>
        <w:tc>
          <w:tcPr>
            <w:tcW w:w="1236" w:type="dxa"/>
            <w:shd w:val="clear" w:color="auto" w:fill="auto"/>
          </w:tcPr>
          <w:p w:rsidR="00C05870" w:rsidRPr="00E24DB0" w:rsidRDefault="00C05870" w:rsidP="001B5162">
            <w:pPr>
              <w:widowControl w:val="0"/>
              <w:autoSpaceDE w:val="0"/>
              <w:autoSpaceDN w:val="0"/>
              <w:adjustRightInd w:val="0"/>
            </w:pPr>
          </w:p>
        </w:tc>
        <w:tc>
          <w:tcPr>
            <w:tcW w:w="1440" w:type="dxa"/>
            <w:shd w:val="clear" w:color="auto" w:fill="auto"/>
          </w:tcPr>
          <w:p w:rsidR="00C05870" w:rsidRPr="00E24DB0" w:rsidRDefault="007D743E" w:rsidP="001B5162">
            <w:pPr>
              <w:widowControl w:val="0"/>
              <w:autoSpaceDE w:val="0"/>
              <w:autoSpaceDN w:val="0"/>
              <w:adjustRightInd w:val="0"/>
            </w:pPr>
            <w:r w:rsidRPr="007D743E">
              <w:t>2,000</w:t>
            </w:r>
          </w:p>
        </w:tc>
      </w:tr>
      <w:tr w:rsidR="00C05870" w:rsidRPr="00E24DB0">
        <w:trPr>
          <w:jc w:val="center"/>
        </w:trPr>
        <w:tc>
          <w:tcPr>
            <w:tcW w:w="3192" w:type="dxa"/>
            <w:shd w:val="clear" w:color="auto" w:fill="auto"/>
          </w:tcPr>
          <w:p w:rsidR="00C05870" w:rsidRPr="00E24DB0" w:rsidRDefault="007D743E" w:rsidP="001B5162">
            <w:pPr>
              <w:widowControl w:val="0"/>
              <w:tabs>
                <w:tab w:val="left" w:pos="480"/>
              </w:tabs>
              <w:autoSpaceDE w:val="0"/>
              <w:autoSpaceDN w:val="0"/>
              <w:adjustRightInd w:val="0"/>
            </w:pPr>
            <w:r w:rsidRPr="007D743E">
              <w:t>Friday</w:t>
            </w:r>
          </w:p>
        </w:tc>
        <w:tc>
          <w:tcPr>
            <w:tcW w:w="1236" w:type="dxa"/>
            <w:shd w:val="clear" w:color="auto" w:fill="auto"/>
          </w:tcPr>
          <w:p w:rsidR="00C05870" w:rsidRPr="00E24DB0" w:rsidRDefault="00C05870" w:rsidP="001B5162">
            <w:pPr>
              <w:widowControl w:val="0"/>
              <w:autoSpaceDE w:val="0"/>
              <w:autoSpaceDN w:val="0"/>
              <w:adjustRightInd w:val="0"/>
            </w:pP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House</w:t>
            </w:r>
          </w:p>
        </w:tc>
        <w:tc>
          <w:tcPr>
            <w:tcW w:w="1236" w:type="dxa"/>
            <w:shd w:val="clear" w:color="auto" w:fill="auto"/>
          </w:tcPr>
          <w:p w:rsidR="00C05870" w:rsidRPr="00E24DB0" w:rsidRDefault="007D743E" w:rsidP="001B5162">
            <w:pPr>
              <w:widowControl w:val="0"/>
              <w:autoSpaceDE w:val="0"/>
              <w:autoSpaceDN w:val="0"/>
              <w:adjustRightInd w:val="0"/>
            </w:pPr>
            <w:r w:rsidRPr="007D743E">
              <w:t>1,500</w:t>
            </w: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Loan to Fred</w:t>
            </w:r>
          </w:p>
        </w:tc>
        <w:tc>
          <w:tcPr>
            <w:tcW w:w="1236" w:type="dxa"/>
            <w:shd w:val="clear" w:color="auto" w:fill="auto"/>
          </w:tcPr>
          <w:p w:rsidR="00C05870" w:rsidRPr="00E24DB0" w:rsidRDefault="007D743E" w:rsidP="001B5162">
            <w:pPr>
              <w:widowControl w:val="0"/>
              <w:autoSpaceDE w:val="0"/>
              <w:autoSpaceDN w:val="0"/>
              <w:adjustRightInd w:val="0"/>
            </w:pPr>
            <w:r w:rsidRPr="007D743E">
              <w:t xml:space="preserve">   500</w:t>
            </w: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trHeight w:val="200"/>
          <w:jc w:val="center"/>
        </w:trPr>
        <w:tc>
          <w:tcPr>
            <w:tcW w:w="3192" w:type="dxa"/>
            <w:tcBorders>
              <w:bottom w:val="single" w:sz="6" w:space="0" w:color="000000"/>
            </w:tcBorders>
            <w:shd w:val="clear" w:color="auto" w:fill="auto"/>
          </w:tcPr>
          <w:p w:rsidR="00C05870" w:rsidRPr="00E24DB0" w:rsidRDefault="007D743E" w:rsidP="001B5162">
            <w:pPr>
              <w:widowControl w:val="0"/>
              <w:tabs>
                <w:tab w:val="left" w:pos="480"/>
              </w:tabs>
              <w:autoSpaceDE w:val="0"/>
              <w:autoSpaceDN w:val="0"/>
              <w:adjustRightInd w:val="0"/>
            </w:pPr>
            <w:r w:rsidRPr="007D743E">
              <w:t xml:space="preserve">     Loan to Robinson</w:t>
            </w:r>
          </w:p>
        </w:tc>
        <w:tc>
          <w:tcPr>
            <w:tcW w:w="1236" w:type="dxa"/>
            <w:tcBorders>
              <w:bottom w:val="single" w:sz="6" w:space="0" w:color="000000"/>
            </w:tcBorders>
            <w:shd w:val="clear" w:color="auto" w:fill="auto"/>
          </w:tcPr>
          <w:p w:rsidR="00C05870" w:rsidRPr="00E24DB0" w:rsidRDefault="007D743E" w:rsidP="001B5162">
            <w:pPr>
              <w:widowControl w:val="0"/>
              <w:tabs>
                <w:tab w:val="left" w:pos="480"/>
              </w:tabs>
              <w:autoSpaceDE w:val="0"/>
              <w:autoSpaceDN w:val="0"/>
              <w:adjustRightInd w:val="0"/>
            </w:pPr>
            <w:r w:rsidRPr="007D743E">
              <w:t>2,000</w:t>
            </w:r>
          </w:p>
        </w:tc>
        <w:tc>
          <w:tcPr>
            <w:tcW w:w="1440" w:type="dxa"/>
            <w:tcBorders>
              <w:bottom w:val="single" w:sz="6" w:space="0" w:color="000000"/>
            </w:tcBorders>
            <w:shd w:val="clear" w:color="auto" w:fill="auto"/>
          </w:tcPr>
          <w:p w:rsidR="00C05870" w:rsidRPr="00E24DB0" w:rsidRDefault="00C05870" w:rsidP="001B5162">
            <w:pPr>
              <w:widowControl w:val="0"/>
              <w:autoSpaceDE w:val="0"/>
              <w:autoSpaceDN w:val="0"/>
              <w:adjustRightInd w:val="0"/>
            </w:pPr>
          </w:p>
        </w:tc>
      </w:tr>
      <w:tr w:rsidR="00C05870" w:rsidRPr="00E24DB0">
        <w:trPr>
          <w:trHeight w:val="326"/>
          <w:jc w:val="center"/>
        </w:trPr>
        <w:tc>
          <w:tcPr>
            <w:tcW w:w="3192" w:type="dxa"/>
            <w:tcBorders>
              <w:top w:val="single" w:sz="6" w:space="0" w:color="000000"/>
              <w:bottom w:val="single" w:sz="6" w:space="0" w:color="000000"/>
            </w:tcBorders>
            <w:shd w:val="clear" w:color="auto" w:fill="auto"/>
          </w:tcPr>
          <w:p w:rsidR="00C05870" w:rsidRPr="00E24DB0" w:rsidRDefault="007D743E" w:rsidP="001B5162">
            <w:pPr>
              <w:widowControl w:val="0"/>
              <w:tabs>
                <w:tab w:val="left" w:pos="480"/>
              </w:tabs>
              <w:autoSpaceDE w:val="0"/>
              <w:autoSpaceDN w:val="0"/>
              <w:adjustRightInd w:val="0"/>
            </w:pPr>
            <w:r w:rsidRPr="007D743E">
              <w:t>Totals</w:t>
            </w:r>
          </w:p>
        </w:tc>
        <w:tc>
          <w:tcPr>
            <w:tcW w:w="1236" w:type="dxa"/>
            <w:tcBorders>
              <w:top w:val="single" w:sz="6" w:space="0" w:color="000000"/>
              <w:bottom w:val="single" w:sz="6" w:space="0" w:color="000000"/>
            </w:tcBorders>
            <w:shd w:val="clear" w:color="auto" w:fill="auto"/>
          </w:tcPr>
          <w:p w:rsidR="00C05870" w:rsidRPr="00E24DB0" w:rsidRDefault="007D743E" w:rsidP="001B5162">
            <w:pPr>
              <w:widowControl w:val="0"/>
              <w:tabs>
                <w:tab w:val="left" w:pos="480"/>
              </w:tabs>
              <w:autoSpaceDE w:val="0"/>
              <w:autoSpaceDN w:val="0"/>
              <w:adjustRightInd w:val="0"/>
            </w:pPr>
            <w:r w:rsidRPr="007D743E">
              <w:t>$8,000</w:t>
            </w:r>
          </w:p>
        </w:tc>
        <w:tc>
          <w:tcPr>
            <w:tcW w:w="1440" w:type="dxa"/>
            <w:tcBorders>
              <w:top w:val="single" w:sz="6" w:space="0" w:color="000000"/>
              <w:bottom w:val="single" w:sz="6" w:space="0" w:color="000000"/>
            </w:tcBorders>
            <w:shd w:val="clear" w:color="auto" w:fill="auto"/>
          </w:tcPr>
          <w:p w:rsidR="00C05870" w:rsidRPr="00E24DB0" w:rsidRDefault="007D743E" w:rsidP="001B5162">
            <w:pPr>
              <w:widowControl w:val="0"/>
              <w:tabs>
                <w:tab w:val="left" w:pos="480"/>
              </w:tabs>
              <w:autoSpaceDE w:val="0"/>
              <w:autoSpaceDN w:val="0"/>
              <w:adjustRightInd w:val="0"/>
            </w:pPr>
            <w:r w:rsidRPr="007D743E">
              <w:t>$2,500</w:t>
            </w:r>
          </w:p>
        </w:tc>
      </w:tr>
    </w:tbl>
    <w:p w:rsidR="00C05870" w:rsidRPr="00E24DB0" w:rsidRDefault="00C05870" w:rsidP="001B5162"/>
    <w:p w:rsidR="00C05870" w:rsidRPr="00E24DB0" w:rsidRDefault="007D743E" w:rsidP="001B5162">
      <w:pPr>
        <w:autoSpaceDE w:val="0"/>
        <w:autoSpaceDN w:val="0"/>
        <w:adjustRightInd w:val="0"/>
        <w:rPr>
          <w:bCs/>
          <w:lang w:val="en-US"/>
        </w:rPr>
      </w:pPr>
      <w:r>
        <w:t>As net worth equals assets minus liabilities, the net worth of the economy equals total assets minus total liabilities or $5,500.</w:t>
      </w:r>
    </w:p>
    <w:p w:rsidR="00C05870" w:rsidRPr="00E24DB0" w:rsidRDefault="00C05870" w:rsidP="001B5162">
      <w:pPr>
        <w:autoSpaceDE w:val="0"/>
        <w:autoSpaceDN w:val="0"/>
        <w:adjustRightInd w:val="0"/>
        <w:rPr>
          <w:b/>
          <w:bCs/>
          <w:lang w:val="en-US"/>
        </w:rPr>
      </w:pPr>
    </w:p>
    <w:p w:rsidR="00F03D90" w:rsidRPr="00E24DB0" w:rsidRDefault="005E73EB" w:rsidP="001B5162">
      <w:r>
        <w:rPr>
          <w:lang w:val="en-US"/>
        </w:rPr>
        <w:t>10</w:t>
      </w:r>
      <w:r w:rsidR="007D743E">
        <w:rPr>
          <w:lang w:val="en-US"/>
        </w:rPr>
        <w:t xml:space="preserve">. </w:t>
      </w:r>
      <w:r w:rsidR="00AD58FD">
        <w:t xml:space="preserve">Section: </w:t>
      </w:r>
      <w:r w:rsidR="007D743E">
        <w:t>1.</w:t>
      </w:r>
      <w:r w:rsidR="003F7362">
        <w:t xml:space="preserve">3 </w:t>
      </w:r>
      <w:proofErr w:type="gramStart"/>
      <w:r w:rsidR="007D743E">
        <w:t>The</w:t>
      </w:r>
      <w:proofErr w:type="gramEnd"/>
      <w:r w:rsidR="007D743E">
        <w:t xml:space="preserve"> Financial System</w:t>
      </w:r>
    </w:p>
    <w:p w:rsidR="00F03D90" w:rsidRPr="00E24DB0" w:rsidRDefault="007D743E" w:rsidP="001B5162">
      <w:pPr>
        <w:tabs>
          <w:tab w:val="left" w:pos="360"/>
        </w:tabs>
      </w:pPr>
      <w:r>
        <w:t>Learning objective: 1.3</w:t>
      </w:r>
    </w:p>
    <w:p w:rsidR="00F03D90" w:rsidRPr="00E24DB0" w:rsidRDefault="00E24DB0" w:rsidP="001B5162">
      <w:pPr>
        <w:tabs>
          <w:tab w:val="left" w:pos="360"/>
        </w:tabs>
      </w:pPr>
      <w:r>
        <w:t>Level of Difficulty</w:t>
      </w:r>
      <w:r w:rsidR="007D743E">
        <w:t xml:space="preserve">: </w:t>
      </w:r>
      <w:r w:rsidR="00977598">
        <w:t>Intermediate</w:t>
      </w:r>
    </w:p>
    <w:p w:rsidR="001B5DD3" w:rsidRPr="00E24DB0" w:rsidRDefault="007D743E" w:rsidP="001B5162">
      <w:pPr>
        <w:tabs>
          <w:tab w:val="left" w:pos="360"/>
        </w:tabs>
        <w:autoSpaceDE w:val="0"/>
        <w:autoSpaceDN w:val="0"/>
        <w:adjustRightInd w:val="0"/>
      </w:pPr>
      <w:r>
        <w:rPr>
          <w:bCs/>
          <w:lang w:val="en-US"/>
        </w:rPr>
        <w:t xml:space="preserve">Solution:  </w:t>
      </w:r>
      <w:r>
        <w:t>In the financial system, there are mainly four major sectors: Households, Government, Business</w:t>
      </w:r>
      <w:r w:rsidR="00463B9D">
        <w:t>,</w:t>
      </w:r>
      <w:r>
        <w:t xml:space="preserve"> and Non-Residents.  Within the field of finance there are four major areas: personal finance, government finance, corporate finance, and international finance. They closely interrelate to each other. Because they are all major parts of the whole financial system, what happens in one market will affect all the other markets.</w:t>
      </w:r>
    </w:p>
    <w:p w:rsidR="00634445" w:rsidRPr="00E24DB0" w:rsidRDefault="00634445" w:rsidP="001B5162"/>
    <w:p w:rsidR="00F03D90" w:rsidRPr="00E24DB0" w:rsidRDefault="005E73EB" w:rsidP="001B5162">
      <w:r>
        <w:rPr>
          <w:lang w:val="en-US"/>
        </w:rPr>
        <w:t>11</w:t>
      </w:r>
      <w:r w:rsidR="007D743E">
        <w:rPr>
          <w:lang w:val="en-US"/>
        </w:rPr>
        <w:t>.</w:t>
      </w:r>
      <w:r w:rsidR="007D743E">
        <w:t xml:space="preserve"> </w:t>
      </w:r>
      <w:r w:rsidR="00AD58FD">
        <w:t>Section:</w:t>
      </w:r>
      <w:r w:rsidR="007D743E">
        <w:t xml:space="preserve"> 1.</w:t>
      </w:r>
      <w:r w:rsidR="003F7362">
        <w:t xml:space="preserve">3 </w:t>
      </w:r>
      <w:proofErr w:type="gramStart"/>
      <w:r w:rsidR="007D743E">
        <w:t>The</w:t>
      </w:r>
      <w:proofErr w:type="gramEnd"/>
      <w:r w:rsidR="007D743E">
        <w:t xml:space="preserve"> Financial System</w:t>
      </w:r>
    </w:p>
    <w:p w:rsidR="00F03D90" w:rsidRPr="00E24DB0" w:rsidRDefault="007D743E" w:rsidP="001B5162">
      <w:pPr>
        <w:tabs>
          <w:tab w:val="left" w:pos="360"/>
        </w:tabs>
      </w:pPr>
      <w:r>
        <w:t>Learning objective: 1.3</w:t>
      </w:r>
    </w:p>
    <w:p w:rsidR="0007410E" w:rsidRPr="00E24DB0" w:rsidRDefault="00E24DB0" w:rsidP="001B5162">
      <w:pPr>
        <w:tabs>
          <w:tab w:val="left" w:pos="360"/>
        </w:tabs>
        <w:rPr>
          <w:lang w:val="en-US"/>
        </w:rPr>
      </w:pPr>
      <w:r>
        <w:t>Level of Difficulty</w:t>
      </w:r>
      <w:r w:rsidR="007D743E">
        <w:t xml:space="preserve">: </w:t>
      </w:r>
      <w:r w:rsidR="00977598">
        <w:t>Intermediate</w:t>
      </w:r>
    </w:p>
    <w:p w:rsidR="00634445" w:rsidRPr="00E24DB0" w:rsidRDefault="007D743E" w:rsidP="001B5162">
      <w:r>
        <w:t xml:space="preserve">Solution: Banks take in deposits and loan them out to fund borrowers. Pension funds take in pension contributions and pay out pensions to plan participants when they retire. Insurance firms </w:t>
      </w:r>
      <w:r>
        <w:lastRenderedPageBreak/>
        <w:t>take in premiums and pay out when a certain event occurs. Mutual funds pool small funds together and make investments that small investors cannot make. Mutual funds also offer investment expertise to ordinary investors.</w:t>
      </w:r>
    </w:p>
    <w:p w:rsidR="001B5DD3" w:rsidRPr="00E24DB0" w:rsidRDefault="001B5DD3" w:rsidP="001B5162">
      <w:pPr>
        <w:autoSpaceDE w:val="0"/>
        <w:autoSpaceDN w:val="0"/>
        <w:adjustRightInd w:val="0"/>
        <w:rPr>
          <w:lang w:val="en-US"/>
        </w:rPr>
      </w:pPr>
    </w:p>
    <w:p w:rsidR="00F03D90" w:rsidRPr="00E24DB0" w:rsidRDefault="005E73EB" w:rsidP="001B5162">
      <w:r>
        <w:rPr>
          <w:lang w:val="en-US"/>
        </w:rPr>
        <w:t>12</w:t>
      </w:r>
      <w:r w:rsidR="007D743E">
        <w:rPr>
          <w:lang w:val="en-US"/>
        </w:rPr>
        <w:t xml:space="preserve">. </w:t>
      </w:r>
      <w:r w:rsidR="00AD58FD">
        <w:t>Section:</w:t>
      </w:r>
      <w:r w:rsidR="007D743E">
        <w:t xml:space="preserve"> 1.</w:t>
      </w:r>
      <w:r w:rsidR="003F7362">
        <w:t xml:space="preserve">3 </w:t>
      </w:r>
      <w:proofErr w:type="gramStart"/>
      <w:r w:rsidR="007D743E">
        <w:t>The</w:t>
      </w:r>
      <w:proofErr w:type="gramEnd"/>
      <w:r w:rsidR="007D743E">
        <w:t xml:space="preserve"> Financial System</w:t>
      </w:r>
    </w:p>
    <w:p w:rsidR="00F03D90" w:rsidRPr="00E24DB0" w:rsidRDefault="007D743E" w:rsidP="001B5162">
      <w:pPr>
        <w:tabs>
          <w:tab w:val="left" w:pos="360"/>
        </w:tabs>
      </w:pPr>
      <w:r>
        <w:t>Learning objective: 1.3</w:t>
      </w:r>
    </w:p>
    <w:p w:rsidR="00634445" w:rsidRPr="00E24DB0" w:rsidRDefault="00E24DB0" w:rsidP="001B5162">
      <w:pPr>
        <w:tabs>
          <w:tab w:val="left" w:pos="360"/>
        </w:tabs>
      </w:pPr>
      <w:r>
        <w:t>Level of Difficulty</w:t>
      </w:r>
      <w:r w:rsidR="007D743E">
        <w:t xml:space="preserve">: </w:t>
      </w:r>
      <w:r w:rsidR="00977598">
        <w:t>Intermediate</w:t>
      </w:r>
    </w:p>
    <w:p w:rsidR="00634445" w:rsidRPr="00E24DB0" w:rsidRDefault="007D743E" w:rsidP="001B5162">
      <w:r>
        <w:t xml:space="preserve">Solution: Five main reasons why financial and </w:t>
      </w:r>
      <w:proofErr w:type="gramStart"/>
      <w:r>
        <w:t>market</w:t>
      </w:r>
      <w:proofErr w:type="gramEnd"/>
      <w:r>
        <w:t xml:space="preserve"> intermediaries exist are:</w:t>
      </w:r>
    </w:p>
    <w:p w:rsidR="00634445" w:rsidRPr="00E24DB0" w:rsidRDefault="007D743E" w:rsidP="001B5162">
      <w:r>
        <w:t>i) They provide anonymousness and convenience to all transaction parties.</w:t>
      </w:r>
    </w:p>
    <w:p w:rsidR="00634445" w:rsidRPr="00E24DB0" w:rsidRDefault="007D743E" w:rsidP="001B5162">
      <w:r>
        <w:t>ii) They efficiently match the needs of the participants in the financial market and aggregate all the small transactions.</w:t>
      </w:r>
    </w:p>
    <w:p w:rsidR="00634445" w:rsidRPr="00E24DB0" w:rsidRDefault="007D743E" w:rsidP="001B5162">
      <w:r>
        <w:t>iii) They have procedures for documentation of legal contracts to ensure security.</w:t>
      </w:r>
    </w:p>
    <w:p w:rsidR="00634445" w:rsidRPr="00E24DB0" w:rsidRDefault="007D743E" w:rsidP="001B5162">
      <w:proofErr w:type="gramStart"/>
      <w:r>
        <w:t>iv) The</w:t>
      </w:r>
      <w:proofErr w:type="gramEnd"/>
      <w:r>
        <w:t xml:space="preserve"> risk of non-payment is alleviated by maintaining credit ratings and by controlling other accounts.</w:t>
      </w:r>
    </w:p>
    <w:p w:rsidR="001B5DD3" w:rsidRPr="00E24DB0" w:rsidRDefault="007D743E" w:rsidP="001B5162">
      <w:r>
        <w:t>v) Financial institutions transform the nature of the underlying financial securities.</w:t>
      </w:r>
    </w:p>
    <w:p w:rsidR="00D17AE5" w:rsidRPr="00E24DB0" w:rsidRDefault="00D17AE5" w:rsidP="001B5162"/>
    <w:p w:rsidR="00F03D90" w:rsidRPr="00E24DB0" w:rsidRDefault="005E73EB" w:rsidP="001B5162">
      <w:r>
        <w:t>13</w:t>
      </w:r>
      <w:r w:rsidR="007D743E">
        <w:t xml:space="preserve">. </w:t>
      </w:r>
      <w:r w:rsidR="00AD58FD">
        <w:t>Section:</w:t>
      </w:r>
      <w:r w:rsidR="007D743E">
        <w:t xml:space="preserve"> 1.</w:t>
      </w:r>
      <w:r w:rsidR="003F7362">
        <w:t xml:space="preserve">3 </w:t>
      </w:r>
      <w:proofErr w:type="gramStart"/>
      <w:r w:rsidR="007D743E">
        <w:t>The</w:t>
      </w:r>
      <w:proofErr w:type="gramEnd"/>
      <w:r w:rsidR="007D743E">
        <w:t xml:space="preserve"> Financial System</w:t>
      </w:r>
    </w:p>
    <w:p w:rsidR="00F03D90" w:rsidRPr="00E24DB0" w:rsidRDefault="007D743E" w:rsidP="001B5162">
      <w:pPr>
        <w:tabs>
          <w:tab w:val="left" w:pos="360"/>
        </w:tabs>
      </w:pPr>
      <w:r>
        <w:t>Learning objective: 1.3</w:t>
      </w:r>
    </w:p>
    <w:p w:rsidR="00D17AE5" w:rsidRPr="00E24DB0" w:rsidRDefault="00E24DB0" w:rsidP="001B5162">
      <w:pPr>
        <w:tabs>
          <w:tab w:val="left" w:pos="360"/>
        </w:tabs>
      </w:pPr>
      <w:r>
        <w:t>Level of Difficulty</w:t>
      </w:r>
      <w:r w:rsidR="007D743E">
        <w:t xml:space="preserve">: </w:t>
      </w:r>
      <w:r w:rsidR="00977598">
        <w:t>Intermediate</w:t>
      </w:r>
    </w:p>
    <w:p w:rsidR="00D17AE5" w:rsidRPr="00E24DB0" w:rsidRDefault="007D743E" w:rsidP="001B5162">
      <w:r>
        <w:t>Solution: A “credit crunch” refers to a situation when financial intermediaries such as banks and other lenders are either unable or unwilling, in general, to offer credit to borrowers. The crunch usually arises due to a lack of confidence</w:t>
      </w:r>
      <w:r w:rsidR="000A3632">
        <w:t xml:space="preserve">, </w:t>
      </w:r>
      <w:r>
        <w:t xml:space="preserve">leading people and other institutions to be unwilling to lend to the financial intermediary. If very few people are willing to lend to the financial intermediary, then they, in turn, will not have the funds available to lend out and the “crunch” begins. </w:t>
      </w:r>
    </w:p>
    <w:p w:rsidR="00D17AE5" w:rsidRPr="00E24DB0" w:rsidRDefault="00D17AE5" w:rsidP="001B5162"/>
    <w:p w:rsidR="00F03D90" w:rsidRPr="00E24DB0" w:rsidRDefault="005E73EB" w:rsidP="001B5162">
      <w:r>
        <w:rPr>
          <w:lang w:val="en-US"/>
        </w:rPr>
        <w:t>14</w:t>
      </w:r>
      <w:r w:rsidR="007D743E">
        <w:rPr>
          <w:lang w:val="en-US"/>
        </w:rPr>
        <w:t xml:space="preserve">. </w:t>
      </w:r>
      <w:r w:rsidR="00AD58FD">
        <w:t>Section:</w:t>
      </w:r>
      <w:r w:rsidR="007D743E">
        <w:t xml:space="preserve"> 1.</w:t>
      </w:r>
      <w:r w:rsidR="003F7362">
        <w:t xml:space="preserve">4 </w:t>
      </w:r>
      <w:r w:rsidR="007D743E">
        <w:t>Financial Instruments and Markets</w:t>
      </w:r>
    </w:p>
    <w:p w:rsidR="00F03D90" w:rsidRPr="00E24DB0" w:rsidRDefault="007D743E" w:rsidP="001B5162">
      <w:pPr>
        <w:tabs>
          <w:tab w:val="left" w:pos="360"/>
        </w:tabs>
      </w:pPr>
      <w:r>
        <w:t>Learning objective: 1.4</w:t>
      </w:r>
    </w:p>
    <w:p w:rsidR="00F04728" w:rsidRPr="00E24DB0" w:rsidRDefault="00E24DB0" w:rsidP="001B5162">
      <w:pPr>
        <w:tabs>
          <w:tab w:val="left" w:pos="360"/>
        </w:tabs>
      </w:pPr>
      <w:r>
        <w:t>Level of Difficulty</w:t>
      </w:r>
      <w:r w:rsidR="007D743E">
        <w:t xml:space="preserve">: </w:t>
      </w:r>
      <w:r w:rsidR="00977598">
        <w:t>Intermediate</w:t>
      </w:r>
    </w:p>
    <w:p w:rsidR="001B5DD3" w:rsidRPr="00E24DB0" w:rsidRDefault="007D743E" w:rsidP="001B5162">
      <w:r>
        <w:t xml:space="preserve">Solution: </w:t>
      </w:r>
      <w:r w:rsidR="00F774C5" w:rsidRPr="005D18D6">
        <w:t>There are two major types of secondary markets</w:t>
      </w:r>
      <w:r w:rsidR="00F774C5">
        <w:t xml:space="preserve"> are</w:t>
      </w:r>
      <w:r w:rsidR="00F774C5" w:rsidRPr="00F774C5">
        <w:t xml:space="preserve"> </w:t>
      </w:r>
      <w:r w:rsidR="00F774C5" w:rsidRPr="00D0744C">
        <w:rPr>
          <w:i/>
        </w:rPr>
        <w:t>exchanges</w:t>
      </w:r>
      <w:r w:rsidR="00F774C5" w:rsidRPr="00D0744C">
        <w:t xml:space="preserve"> or </w:t>
      </w:r>
      <w:r w:rsidR="00F774C5" w:rsidRPr="00D0744C">
        <w:rPr>
          <w:i/>
        </w:rPr>
        <w:t>auction markets</w:t>
      </w:r>
      <w:r w:rsidR="00F774C5" w:rsidRPr="005D18D6">
        <w:rPr>
          <w:rStyle w:val="eBol"/>
        </w:rPr>
        <w:t xml:space="preserve"> </w:t>
      </w:r>
      <w:r w:rsidR="00F774C5" w:rsidRPr="005D18D6">
        <w:t xml:space="preserve">and </w:t>
      </w:r>
      <w:r w:rsidR="00F774C5" w:rsidRPr="00D0744C">
        <w:rPr>
          <w:i/>
        </w:rPr>
        <w:t>dealer</w:t>
      </w:r>
      <w:r w:rsidR="00F774C5" w:rsidRPr="00D0744C">
        <w:t xml:space="preserve"> or </w:t>
      </w:r>
      <w:r w:rsidR="00F774C5" w:rsidRPr="00D0744C">
        <w:rPr>
          <w:i/>
        </w:rPr>
        <w:t>over-the-counter (OTC) markets.</w:t>
      </w:r>
      <w:r w:rsidR="00F774C5" w:rsidRPr="00D0744C">
        <w:t xml:space="preserve"> </w:t>
      </w:r>
      <w:r w:rsidR="00F774C5" w:rsidRPr="005D18D6">
        <w:t>Exchanges have been referred to as auction markets because they involve a bidding process that takes place in a specific location (i.e., similar to an auction)</w:t>
      </w:r>
      <w:r w:rsidR="00D0744C">
        <w:t xml:space="preserve">. </w:t>
      </w:r>
      <w:r w:rsidR="00D0744C" w:rsidRPr="005D18D6">
        <w:t>OTC or dealer markets do not have a physical location, but rather consist of a network of dealers who trade directly with one another</w:t>
      </w:r>
      <w:r w:rsidR="00F774C5" w:rsidRPr="005D18D6">
        <w:t>.</w:t>
      </w:r>
    </w:p>
    <w:p w:rsidR="00F04728" w:rsidRPr="00E24DB0" w:rsidRDefault="00F04728" w:rsidP="001B5162"/>
    <w:p w:rsidR="003F7362" w:rsidRPr="00D0744C" w:rsidRDefault="003F7362" w:rsidP="00977598">
      <w:pPr>
        <w:rPr>
          <w:b/>
          <w:lang w:val="en-US"/>
        </w:rPr>
      </w:pPr>
      <w:r w:rsidRPr="00D0744C">
        <w:rPr>
          <w:b/>
          <w:lang w:val="en-US"/>
        </w:rPr>
        <w:t>Challenging</w:t>
      </w:r>
    </w:p>
    <w:p w:rsidR="00F03D90" w:rsidRPr="00E24DB0" w:rsidRDefault="005E73EB" w:rsidP="001B5162">
      <w:r>
        <w:rPr>
          <w:lang w:val="en-US"/>
        </w:rPr>
        <w:t>15</w:t>
      </w:r>
      <w:r w:rsidR="007D743E">
        <w:rPr>
          <w:lang w:val="en-US"/>
        </w:rPr>
        <w:t xml:space="preserve">. </w:t>
      </w:r>
      <w:r w:rsidR="00AD58FD">
        <w:t>Section:</w:t>
      </w:r>
      <w:r w:rsidR="007D743E">
        <w:t xml:space="preserve"> 1.</w:t>
      </w:r>
      <w:r w:rsidR="003F7362">
        <w:t xml:space="preserve">4 </w:t>
      </w:r>
      <w:r w:rsidR="007D743E">
        <w:t>Financial Instruments and Markets</w:t>
      </w:r>
    </w:p>
    <w:p w:rsidR="00F03D90" w:rsidRPr="00E24DB0" w:rsidRDefault="007D743E" w:rsidP="001B5162">
      <w:pPr>
        <w:tabs>
          <w:tab w:val="left" w:pos="360"/>
        </w:tabs>
      </w:pPr>
      <w:r>
        <w:t>Learning objective: 1.4</w:t>
      </w:r>
    </w:p>
    <w:p w:rsidR="00F04728" w:rsidRPr="00E24DB0" w:rsidRDefault="00E24DB0" w:rsidP="001B5162">
      <w:pPr>
        <w:tabs>
          <w:tab w:val="left" w:pos="360"/>
        </w:tabs>
      </w:pPr>
      <w:r>
        <w:t>Level of Difficulty</w:t>
      </w:r>
      <w:r w:rsidR="007D743E">
        <w:t xml:space="preserve">: </w:t>
      </w:r>
      <w:r w:rsidR="00977598">
        <w:t>Challenging</w:t>
      </w:r>
    </w:p>
    <w:p w:rsidR="00484924" w:rsidRDefault="007D743E" w:rsidP="001B5162">
      <w:r>
        <w:t xml:space="preserve">Solution: Secondary market transactions are those where ownership of existing shares changes hands, but the corporations or governments who originally issued the securities receive no financing; trading takes place </w:t>
      </w:r>
      <w:r w:rsidRPr="007D743E">
        <w:rPr>
          <w:i/>
        </w:rPr>
        <w:t>between</w:t>
      </w:r>
      <w:r>
        <w:t xml:space="preserve"> investors.  This is critical to the functioning of the primary markets, because governments and companies would not be able to raise financing if investors were unable to sell their investments if necessary.</w:t>
      </w:r>
    </w:p>
    <w:p w:rsidR="00484924" w:rsidRDefault="00484924">
      <w:r>
        <w:br w:type="page"/>
      </w:r>
    </w:p>
    <w:p w:rsidR="00F908B9" w:rsidRPr="00484924" w:rsidRDefault="00484924" w:rsidP="00484924">
      <w:pPr>
        <w:jc w:val="center"/>
        <w:rPr>
          <w:b/>
        </w:rPr>
      </w:pPr>
      <w:r w:rsidRPr="00484924">
        <w:rPr>
          <w:b/>
        </w:rPr>
        <w:lastRenderedPageBreak/>
        <w:t>Answers to Concept Review Questions</w:t>
      </w:r>
    </w:p>
    <w:p w:rsidR="00484924" w:rsidRDefault="00484924" w:rsidP="00484924">
      <w:pPr>
        <w:rPr>
          <w:b/>
        </w:rPr>
      </w:pPr>
      <w:bookmarkStart w:id="0" w:name="_GoBack"/>
      <w:bookmarkEnd w:id="0"/>
    </w:p>
    <w:p w:rsidR="00484924" w:rsidRDefault="00484924" w:rsidP="00484924">
      <w:pPr>
        <w:rPr>
          <w:b/>
        </w:rPr>
      </w:pPr>
      <w:r w:rsidRPr="00E34F02">
        <w:rPr>
          <w:b/>
        </w:rPr>
        <w:t>1.</w:t>
      </w:r>
      <w:r>
        <w:rPr>
          <w:b/>
        </w:rPr>
        <w:t>2 Real versus Financial Assets</w:t>
      </w:r>
    </w:p>
    <w:p w:rsidR="000F2953" w:rsidRPr="00E34F02" w:rsidRDefault="000F2953" w:rsidP="00484924">
      <w:pPr>
        <w:rPr>
          <w:b/>
        </w:rPr>
      </w:pPr>
    </w:p>
    <w:p w:rsidR="00484924" w:rsidRPr="00E34F02" w:rsidRDefault="00484924" w:rsidP="00484924">
      <w:pPr>
        <w:rPr>
          <w:b/>
          <w:i/>
        </w:rPr>
      </w:pPr>
      <w:r w:rsidRPr="00E34F02">
        <w:rPr>
          <w:b/>
          <w:i/>
        </w:rPr>
        <w:t>Concept review questions</w:t>
      </w:r>
    </w:p>
    <w:p w:rsidR="00484924" w:rsidRPr="00E34F02" w:rsidRDefault="00484924" w:rsidP="00484924">
      <w:pPr>
        <w:rPr>
          <w:b/>
        </w:rPr>
      </w:pPr>
      <w:r w:rsidRPr="00E34F02">
        <w:t>1. What is finance?</w:t>
      </w:r>
      <w:r w:rsidRPr="00E34F02">
        <w:rPr>
          <w:b/>
        </w:rPr>
        <w:t xml:space="preserve"> </w:t>
      </w:r>
    </w:p>
    <w:p w:rsidR="00484924" w:rsidRPr="00E34F02" w:rsidRDefault="00484924" w:rsidP="00484924">
      <w:r w:rsidRPr="00E34F02">
        <w:t xml:space="preserve">Finance in its broadest terms is the study of how and under what terms savings (monies) are allocated between lenders and borrowers. </w:t>
      </w:r>
    </w:p>
    <w:p w:rsidR="00484924" w:rsidRPr="00E34F02" w:rsidRDefault="00484924" w:rsidP="00484924"/>
    <w:p w:rsidR="00484924" w:rsidRPr="00E34F02" w:rsidRDefault="00484924" w:rsidP="00484924">
      <w:r w:rsidRPr="00E34F02">
        <w:t>2. Distinguish between real and financial assets.</w:t>
      </w:r>
    </w:p>
    <w:p w:rsidR="00484924" w:rsidRPr="00E34F02" w:rsidRDefault="00484924" w:rsidP="00484924">
      <w:r w:rsidRPr="00E34F02">
        <w:t xml:space="preserve">Real assets represent the normal tangible things that we think of in terms of personal and business assets. Financial assets are simply what one individual has lent to another, so one person’s positive financial asset is another’s </w:t>
      </w:r>
      <w:r w:rsidRPr="00E34F02">
        <w:rPr>
          <w:i/>
        </w:rPr>
        <w:t>negative</w:t>
      </w:r>
      <w:r w:rsidRPr="00E34F02">
        <w:t xml:space="preserve"> financial asset (or liability).</w:t>
      </w:r>
    </w:p>
    <w:p w:rsidR="00484924" w:rsidRPr="00E34F02" w:rsidRDefault="00484924" w:rsidP="00484924"/>
    <w:p w:rsidR="00484924" w:rsidRPr="00E34F02" w:rsidRDefault="00484924" w:rsidP="00484924">
      <w:r w:rsidRPr="00E34F02">
        <w:t>3. Which sector or sectors of the economy are net providers of financing and which are the net users of financing?</w:t>
      </w:r>
    </w:p>
    <w:p w:rsidR="00484924" w:rsidRPr="00E34F02" w:rsidRDefault="00484924" w:rsidP="00484924">
      <w:r w:rsidRPr="00E34F02">
        <w:t>Households and non-residents are net providers of financing. Government and business are net users of financing.</w:t>
      </w:r>
    </w:p>
    <w:p w:rsidR="00484924" w:rsidRPr="00E34F02" w:rsidRDefault="00484924" w:rsidP="00484924"/>
    <w:p w:rsidR="00484924" w:rsidRDefault="00484924" w:rsidP="00484924">
      <w:pPr>
        <w:rPr>
          <w:b/>
        </w:rPr>
      </w:pPr>
      <w:r w:rsidRPr="00E34F02">
        <w:rPr>
          <w:b/>
        </w:rPr>
        <w:t>1.</w:t>
      </w:r>
      <w:r>
        <w:rPr>
          <w:b/>
        </w:rPr>
        <w:t>3</w:t>
      </w:r>
      <w:r w:rsidRPr="00E34F02">
        <w:rPr>
          <w:b/>
        </w:rPr>
        <w:t>The Financial System</w:t>
      </w:r>
    </w:p>
    <w:p w:rsidR="000F2953" w:rsidRPr="00E34F02" w:rsidRDefault="000F2953" w:rsidP="00484924">
      <w:pPr>
        <w:rPr>
          <w:b/>
        </w:rPr>
      </w:pPr>
    </w:p>
    <w:p w:rsidR="00484924" w:rsidRPr="00E34F02" w:rsidRDefault="00484924" w:rsidP="00484924">
      <w:pPr>
        <w:rPr>
          <w:b/>
          <w:i/>
        </w:rPr>
      </w:pPr>
      <w:r w:rsidRPr="00E34F02">
        <w:rPr>
          <w:b/>
          <w:i/>
        </w:rPr>
        <w:t>Concept review questions</w:t>
      </w:r>
    </w:p>
    <w:p w:rsidR="00484924" w:rsidRPr="00E34F02" w:rsidRDefault="00484924" w:rsidP="00484924">
      <w:r w:rsidRPr="00E34F02">
        <w:t>1. Identify and briefly describe the three main channels of savings.</w:t>
      </w:r>
    </w:p>
    <w:p w:rsidR="00484924" w:rsidRPr="00E34F02" w:rsidRDefault="00484924" w:rsidP="00484924">
      <w:r w:rsidRPr="00E34F02">
        <w:t xml:space="preserve">In the first channel we have </w:t>
      </w:r>
      <w:r w:rsidRPr="00E34F02">
        <w:rPr>
          <w:i/>
          <w:iCs/>
        </w:rPr>
        <w:t>direct</w:t>
      </w:r>
      <w:r w:rsidRPr="00E34F02">
        <w:t xml:space="preserve"> intermediation, where the lender provides money directly to the ultimate borrower. The second channel also represents direct intermediation between the lender and borrower, but in this case some help is needed since no one individual can come up with the full amount needed and/or because the borrower is not aware of the available lenders. The third savings channel is completely different since it represents financial intermediation, where the </w:t>
      </w:r>
      <w:r w:rsidRPr="00E34F02">
        <w:rPr>
          <w:i/>
          <w:iCs/>
        </w:rPr>
        <w:t>financial institution or financial intermediary</w:t>
      </w:r>
      <w:r w:rsidRPr="00E34F02">
        <w:t xml:space="preserve"> lends the money to the ultimate borrower, but raises the money itself by borrowing directly from other individuals.</w:t>
      </w:r>
    </w:p>
    <w:p w:rsidR="00484924" w:rsidRPr="00E34F02" w:rsidRDefault="00484924" w:rsidP="00484924"/>
    <w:p w:rsidR="00484924" w:rsidRPr="00E34F02" w:rsidRDefault="00484924" w:rsidP="00484924">
      <w:r w:rsidRPr="00E34F02">
        <w:t>2. Distinguish between market and financial intermediaries.</w:t>
      </w:r>
    </w:p>
    <w:p w:rsidR="00484924" w:rsidRPr="00E34F02" w:rsidRDefault="00484924" w:rsidP="00484924">
      <w:r w:rsidRPr="00E34F02">
        <w:t xml:space="preserve">A market intermediary is simply an entity that facilitates the working of markets and helps provide direct intermediation. The </w:t>
      </w:r>
      <w:r w:rsidRPr="00E34F02">
        <w:rPr>
          <w:i/>
          <w:iCs/>
        </w:rPr>
        <w:t>financial institution or financial intermediary</w:t>
      </w:r>
      <w:r w:rsidRPr="00E34F02">
        <w:t xml:space="preserve"> lends the money to the ultimate borrower, but raises the money itself by borrowing directly from other individuals. In this case, the ultimate lender only has an </w:t>
      </w:r>
      <w:r w:rsidRPr="00E34F02">
        <w:rPr>
          <w:i/>
          <w:iCs/>
        </w:rPr>
        <w:t>indirect</w:t>
      </w:r>
      <w:r w:rsidRPr="00E34F02">
        <w:t xml:space="preserve"> claim on the ultimate borrower; their </w:t>
      </w:r>
      <w:r w:rsidRPr="00E34F02">
        <w:rPr>
          <w:i/>
          <w:iCs/>
        </w:rPr>
        <w:t>direct</w:t>
      </w:r>
      <w:r w:rsidRPr="00E34F02">
        <w:t xml:space="preserve"> claim is on the financial institution.</w:t>
      </w:r>
    </w:p>
    <w:p w:rsidR="00484924" w:rsidRPr="00E34F02" w:rsidRDefault="00484924" w:rsidP="00484924"/>
    <w:p w:rsidR="00484924" w:rsidRPr="00E34F02" w:rsidRDefault="00484924" w:rsidP="00484924">
      <w:r w:rsidRPr="00E34F02">
        <w:t>3. Discuss how the three most important types of financial intermediaries operate.</w:t>
      </w:r>
    </w:p>
    <w:p w:rsidR="00484924" w:rsidRPr="00E34F02" w:rsidRDefault="00484924" w:rsidP="00484924">
      <w:r w:rsidRPr="00E34F02">
        <w:t>Chartered banks take in deposits and make loans, insurance companies take in premiums and pay off in the event of an incident happening such as a death or fire, while pension funds take in contributions and provide pension payments after plan members retire.</w:t>
      </w:r>
    </w:p>
    <w:p w:rsidR="00484924" w:rsidRPr="00E34F02" w:rsidRDefault="00484924" w:rsidP="00484924"/>
    <w:p w:rsidR="00484924" w:rsidRDefault="00484924" w:rsidP="00484924">
      <w:pPr>
        <w:rPr>
          <w:b/>
        </w:rPr>
      </w:pPr>
      <w:r>
        <w:rPr>
          <w:b/>
        </w:rPr>
        <w:t>1.4</w:t>
      </w:r>
      <w:r w:rsidRPr="00E34F02">
        <w:rPr>
          <w:b/>
        </w:rPr>
        <w:t xml:space="preserve"> Financial Instruments and Markets</w:t>
      </w:r>
    </w:p>
    <w:p w:rsidR="000F2953" w:rsidRPr="00E34F02" w:rsidRDefault="000F2953" w:rsidP="00484924">
      <w:pPr>
        <w:rPr>
          <w:b/>
        </w:rPr>
      </w:pPr>
    </w:p>
    <w:p w:rsidR="00484924" w:rsidRPr="00E34F02" w:rsidRDefault="00484924" w:rsidP="00484924">
      <w:pPr>
        <w:rPr>
          <w:b/>
          <w:i/>
        </w:rPr>
      </w:pPr>
      <w:r w:rsidRPr="00E34F02">
        <w:rPr>
          <w:b/>
          <w:i/>
        </w:rPr>
        <w:t>Concept review questions</w:t>
      </w:r>
    </w:p>
    <w:p w:rsidR="00484924" w:rsidRPr="00E34F02" w:rsidRDefault="00484924" w:rsidP="00484924">
      <w:pPr>
        <w:pStyle w:val="Header"/>
        <w:tabs>
          <w:tab w:val="left" w:pos="720"/>
        </w:tabs>
        <w:rPr>
          <w:lang w:val="en-GB"/>
        </w:rPr>
      </w:pPr>
      <w:r w:rsidRPr="00E34F02">
        <w:rPr>
          <w:lang w:val="en-GB"/>
        </w:rPr>
        <w:lastRenderedPageBreak/>
        <w:t xml:space="preserve">1. Distinguish among the various types of financial assets. </w:t>
      </w:r>
    </w:p>
    <w:p w:rsidR="00484924" w:rsidRPr="00E34F02" w:rsidRDefault="00484924" w:rsidP="00484924">
      <w:r w:rsidRPr="00E34F02">
        <w:t>The two major categories of financial securities are debt instruments and equity instruments.</w:t>
      </w:r>
    </w:p>
    <w:p w:rsidR="00484924" w:rsidRPr="00E34F02" w:rsidRDefault="00484924" w:rsidP="00484924">
      <w:pPr>
        <w:pStyle w:val="Header"/>
        <w:tabs>
          <w:tab w:val="left" w:pos="720"/>
        </w:tabs>
        <w:rPr>
          <w:lang w:val="en-GB"/>
        </w:rPr>
      </w:pPr>
    </w:p>
    <w:p w:rsidR="00484924" w:rsidRPr="00E34F02" w:rsidRDefault="00484924" w:rsidP="00484924">
      <w:pPr>
        <w:pStyle w:val="Header"/>
        <w:tabs>
          <w:tab w:val="left" w:pos="720"/>
        </w:tabs>
        <w:rPr>
          <w:lang w:val="en-GB"/>
        </w:rPr>
      </w:pPr>
      <w:r w:rsidRPr="00E34F02">
        <w:rPr>
          <w:lang w:val="en-GB"/>
        </w:rPr>
        <w:t>2. Identify the major sources of financing used by: (a) governments and (b) businesses.</w:t>
      </w:r>
    </w:p>
    <w:p w:rsidR="00484924" w:rsidRPr="00E34F02" w:rsidRDefault="00484924" w:rsidP="00484924">
      <w:r w:rsidRPr="00E34F02">
        <w:t xml:space="preserve">Governments raise new financing via the debt markets. They issue T-bills as a source of short-term financing (i.e., less than one year), and they issue traditional bonds and Canada Savings Bonds (CSBs) for long-term financing. Businesses raise short-term financing in the form of debt through the use of loans, or by issuing commercial paper, BAs, etc. (all of which will be discussed in greater detail in later chapters). They raise long-term financing in the form of debt (i.e., through loans, by issuing bonds, or using other long-term debt instruments), or in the form of equity (i.e., by issuing common shares or preferred shares, etc.). </w:t>
      </w:r>
    </w:p>
    <w:p w:rsidR="00484924" w:rsidRPr="00E34F02" w:rsidRDefault="00484924" w:rsidP="00484924">
      <w:pPr>
        <w:pStyle w:val="Header"/>
        <w:tabs>
          <w:tab w:val="left" w:pos="720"/>
        </w:tabs>
        <w:rPr>
          <w:lang w:val="en-GB"/>
        </w:rPr>
      </w:pPr>
    </w:p>
    <w:p w:rsidR="00484924" w:rsidRPr="00E34F02" w:rsidRDefault="00484924" w:rsidP="00484924">
      <w:pPr>
        <w:pStyle w:val="Header"/>
        <w:tabs>
          <w:tab w:val="left" w:pos="720"/>
        </w:tabs>
        <w:rPr>
          <w:lang w:val="en-GB"/>
        </w:rPr>
      </w:pPr>
      <w:r w:rsidRPr="00E34F02">
        <w:rPr>
          <w:lang w:val="en-GB"/>
        </w:rPr>
        <w:t xml:space="preserve">3. Distinguish between primary and secondary markets. </w:t>
      </w:r>
    </w:p>
    <w:p w:rsidR="00484924" w:rsidRPr="00E34F02" w:rsidRDefault="00484924" w:rsidP="00484924">
      <w:pPr>
        <w:pStyle w:val="Header"/>
        <w:tabs>
          <w:tab w:val="left" w:pos="720"/>
        </w:tabs>
        <w:rPr>
          <w:lang w:val="en-GB"/>
        </w:rPr>
      </w:pPr>
      <w:r w:rsidRPr="00E34F02">
        <w:t>Primary markets involve the issue of new securities by the borrower in return for cash from investors (or lenders). Secondary markets provide trading (or market) environments that permit investors to buy and sell existing securities.</w:t>
      </w:r>
    </w:p>
    <w:p w:rsidR="00484924" w:rsidRPr="00E34F02" w:rsidRDefault="00484924" w:rsidP="00484924"/>
    <w:p w:rsidR="00484924" w:rsidRDefault="00484924" w:rsidP="00484924">
      <w:pPr>
        <w:rPr>
          <w:b/>
        </w:rPr>
      </w:pPr>
      <w:r w:rsidRPr="00E34F02">
        <w:rPr>
          <w:b/>
        </w:rPr>
        <w:t>1.</w:t>
      </w:r>
      <w:r>
        <w:rPr>
          <w:b/>
        </w:rPr>
        <w:t>5</w:t>
      </w:r>
      <w:r w:rsidRPr="00E34F02">
        <w:rPr>
          <w:b/>
        </w:rPr>
        <w:t xml:space="preserve"> The Global Financial Community</w:t>
      </w:r>
    </w:p>
    <w:p w:rsidR="000F2953" w:rsidRPr="00E34F02" w:rsidRDefault="000F2953" w:rsidP="00484924">
      <w:pPr>
        <w:rPr>
          <w:b/>
        </w:rPr>
      </w:pPr>
    </w:p>
    <w:p w:rsidR="00484924" w:rsidRPr="00E34F02" w:rsidRDefault="00484924" w:rsidP="00484924">
      <w:pPr>
        <w:rPr>
          <w:b/>
          <w:i/>
        </w:rPr>
      </w:pPr>
      <w:r w:rsidRPr="00E34F02">
        <w:rPr>
          <w:b/>
          <w:i/>
        </w:rPr>
        <w:t>Concept review questions</w:t>
      </w:r>
    </w:p>
    <w:p w:rsidR="00484924" w:rsidRPr="00E34F02" w:rsidRDefault="00484924" w:rsidP="00484924">
      <w:r w:rsidRPr="00E34F02">
        <w:t>1. Explain why global financial markets are so important to Canadians.</w:t>
      </w:r>
    </w:p>
    <w:p w:rsidR="00484924" w:rsidRPr="00E34F02" w:rsidRDefault="00484924" w:rsidP="00484924">
      <w:r w:rsidRPr="00E34F02">
        <w:t xml:space="preserve">On aggregate, if we add our foreign borrowings to the amount of direct foreign investment in Canada, it exceeded the sum of what foreigners borrowed from us and the amount that we invested directly abroad.  </w:t>
      </w:r>
    </w:p>
    <w:p w:rsidR="00484924" w:rsidRPr="00E34F02" w:rsidRDefault="00484924" w:rsidP="00484924"/>
    <w:p w:rsidR="00484924" w:rsidRPr="00E34F02" w:rsidRDefault="00484924" w:rsidP="00484924">
      <w:r w:rsidRPr="00E34F02">
        <w:t xml:space="preserve">2. Identify and briefly describe the two major stock markets in the United States.  </w:t>
      </w:r>
    </w:p>
    <w:p w:rsidR="00484924" w:rsidRPr="00E34F02" w:rsidRDefault="00484924" w:rsidP="00484924">
      <w:r w:rsidRPr="00E34F02">
        <w:t xml:space="preserve">The New York Stock Exchange (NYSE) is the world’s largest and most famous stock market. The second largest and most important stock market in the U.S. is the Nasdaq Stock Market </w:t>
      </w:r>
      <w:r w:rsidRPr="00E34F02">
        <w:rPr>
          <w:vertAlign w:val="superscript"/>
        </w:rPr>
        <w:t>SM</w:t>
      </w:r>
      <w:r w:rsidRPr="00E34F02">
        <w:t xml:space="preserve">, or </w:t>
      </w:r>
      <w:proofErr w:type="gramStart"/>
      <w:r w:rsidRPr="00E34F02">
        <w:t>Nasdaq</w:t>
      </w:r>
      <w:proofErr w:type="gramEnd"/>
      <w:r w:rsidRPr="00E34F02">
        <w:t>.</w:t>
      </w:r>
    </w:p>
    <w:p w:rsidR="00484924" w:rsidRPr="00E34F02" w:rsidRDefault="00484924" w:rsidP="00484924"/>
    <w:p w:rsidR="00484924" w:rsidRPr="00E34F02" w:rsidRDefault="00484924" w:rsidP="00484924">
      <w:r w:rsidRPr="00E34F02">
        <w:t xml:space="preserve">3. Explain </w:t>
      </w:r>
      <w:r>
        <w:t>briefly why events in the United States affected countries around the world so drastically</w:t>
      </w:r>
      <w:r w:rsidRPr="00E34F02">
        <w:t>.</w:t>
      </w:r>
    </w:p>
    <w:p w:rsidR="00484924" w:rsidRPr="00484924" w:rsidRDefault="00484924" w:rsidP="00484924">
      <w:r w:rsidRPr="00484924">
        <w:t>The world’s money markets and bond markets are very global in nature, with U.S. markets</w:t>
      </w:r>
      <w:r w:rsidR="003D3050">
        <w:t xml:space="preserve"> </w:t>
      </w:r>
      <w:r w:rsidRPr="00484924">
        <w:t xml:space="preserve">representing the largest and most active debt markets in the world. </w:t>
      </w:r>
      <w:r w:rsidR="003D3050">
        <w:t>T</w:t>
      </w:r>
      <w:r w:rsidRPr="00484924">
        <w:t xml:space="preserve">he </w:t>
      </w:r>
      <w:r w:rsidR="003D3050">
        <w:t>U.S.</w:t>
      </w:r>
      <w:r w:rsidRPr="00484924">
        <w:t xml:space="preserve"> also possesses the largest equity markets</w:t>
      </w:r>
      <w:r w:rsidR="003D3050">
        <w:t xml:space="preserve"> </w:t>
      </w:r>
      <w:r w:rsidRPr="00484924">
        <w:t>in the w</w:t>
      </w:r>
      <w:r w:rsidR="003D3050">
        <w:t>orld.</w:t>
      </w:r>
    </w:p>
    <w:p w:rsidR="00484924" w:rsidRPr="00484924" w:rsidRDefault="00484924" w:rsidP="00484924"/>
    <w:sectPr w:rsidR="00484924" w:rsidRPr="00484924" w:rsidSect="00755A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BB1" w:rsidRDefault="00885BB1">
      <w:r>
        <w:separator/>
      </w:r>
    </w:p>
  </w:endnote>
  <w:endnote w:type="continuationSeparator" w:id="0">
    <w:p w:rsidR="00885BB1" w:rsidRDefault="0088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terstat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383" w:rsidRPr="00394B83" w:rsidRDefault="001F7383" w:rsidP="00394B83">
    <w:pPr>
      <w:pStyle w:val="Text"/>
      <w:rPr>
        <w:sz w:val="17"/>
        <w:szCs w:val="17"/>
      </w:rPr>
    </w:pPr>
    <w:r w:rsidRPr="00394B83">
      <w:rPr>
        <w:sz w:val="17"/>
        <w:szCs w:val="17"/>
      </w:rPr>
      <w:t>Solutions Manual</w:t>
    </w:r>
    <w:r w:rsidRPr="00394B83">
      <w:rPr>
        <w:sz w:val="17"/>
        <w:szCs w:val="17"/>
      </w:rPr>
      <w:tab/>
    </w:r>
    <w:r w:rsidRPr="00394B83">
      <w:rPr>
        <w:sz w:val="17"/>
        <w:szCs w:val="17"/>
      </w:rPr>
      <w:tab/>
    </w:r>
    <w:r w:rsidRPr="00394B83">
      <w:rPr>
        <w:sz w:val="17"/>
        <w:szCs w:val="17"/>
      </w:rPr>
      <w:tab/>
    </w:r>
    <w:r w:rsidRPr="00394B83">
      <w:rPr>
        <w:sz w:val="17"/>
        <w:szCs w:val="17"/>
      </w:rPr>
      <w:tab/>
    </w:r>
    <w:r w:rsidRPr="00394B83">
      <w:rPr>
        <w:sz w:val="17"/>
        <w:szCs w:val="17"/>
      </w:rPr>
      <w:tab/>
    </w:r>
    <w:r>
      <w:rPr>
        <w:sz w:val="17"/>
        <w:szCs w:val="17"/>
      </w:rPr>
      <w:tab/>
    </w:r>
    <w:r w:rsidR="007F02DE" w:rsidRPr="00394B83">
      <w:rPr>
        <w:rStyle w:val="PageNumber"/>
        <w:bCs w:val="0"/>
        <w:sz w:val="17"/>
        <w:szCs w:val="17"/>
        <w:lang w:val="en-CA"/>
      </w:rPr>
      <w:fldChar w:fldCharType="begin"/>
    </w:r>
    <w:r w:rsidRPr="00394B83">
      <w:rPr>
        <w:rStyle w:val="PageNumber"/>
        <w:bCs w:val="0"/>
        <w:sz w:val="17"/>
        <w:szCs w:val="17"/>
        <w:lang w:val="en-CA"/>
      </w:rPr>
      <w:instrText xml:space="preserve"> PAGE </w:instrText>
    </w:r>
    <w:r w:rsidR="007F02DE" w:rsidRPr="00394B83">
      <w:rPr>
        <w:rStyle w:val="PageNumber"/>
        <w:bCs w:val="0"/>
        <w:sz w:val="17"/>
        <w:szCs w:val="17"/>
        <w:lang w:val="en-CA"/>
      </w:rPr>
      <w:fldChar w:fldCharType="separate"/>
    </w:r>
    <w:r w:rsidR="00051A2D">
      <w:rPr>
        <w:rStyle w:val="PageNumber"/>
        <w:bCs w:val="0"/>
        <w:noProof/>
        <w:sz w:val="17"/>
        <w:szCs w:val="17"/>
        <w:lang w:val="en-CA"/>
      </w:rPr>
      <w:t>4</w:t>
    </w:r>
    <w:r w:rsidR="007F02DE" w:rsidRPr="00394B83">
      <w:rPr>
        <w:rStyle w:val="PageNumber"/>
        <w:bCs w:val="0"/>
        <w:sz w:val="17"/>
        <w:szCs w:val="17"/>
        <w:lang w:val="en-CA"/>
      </w:rPr>
      <w:fldChar w:fldCharType="end"/>
    </w:r>
    <w:r>
      <w:rPr>
        <w:rStyle w:val="PageNumber"/>
        <w:bCs w:val="0"/>
        <w:sz w:val="17"/>
        <w:szCs w:val="17"/>
        <w:lang w:val="en-CA"/>
      </w:rPr>
      <w:tab/>
    </w:r>
    <w:r>
      <w:rPr>
        <w:rStyle w:val="PageNumber"/>
        <w:bCs w:val="0"/>
        <w:sz w:val="17"/>
        <w:szCs w:val="17"/>
        <w:lang w:val="en-CA"/>
      </w:rPr>
      <w:tab/>
    </w:r>
    <w:r>
      <w:rPr>
        <w:rStyle w:val="PageNumber"/>
        <w:bCs w:val="0"/>
        <w:sz w:val="17"/>
        <w:szCs w:val="17"/>
        <w:lang w:val="en-CA"/>
      </w:rPr>
      <w:tab/>
    </w:r>
    <w:r>
      <w:rPr>
        <w:rStyle w:val="PageNumber"/>
        <w:bCs w:val="0"/>
        <w:sz w:val="17"/>
        <w:szCs w:val="17"/>
        <w:lang w:val="en-CA"/>
      </w:rPr>
      <w:tab/>
      <w:t xml:space="preserve">            </w:t>
    </w:r>
    <w:r w:rsidRPr="00394B83">
      <w:rPr>
        <w:sz w:val="17"/>
        <w:szCs w:val="17"/>
      </w:rPr>
      <w:t>Chapter 1</w:t>
    </w:r>
  </w:p>
  <w:p w:rsidR="001F7383" w:rsidRPr="00394B83" w:rsidRDefault="001F7383" w:rsidP="00394B83">
    <w:pPr>
      <w:pStyle w:val="Text"/>
      <w:rPr>
        <w:sz w:val="17"/>
        <w:szCs w:val="17"/>
      </w:rPr>
    </w:pPr>
    <w:r w:rsidRPr="00394B83">
      <w:rPr>
        <w:sz w:val="17"/>
        <w:szCs w:val="17"/>
      </w:rPr>
      <w:t xml:space="preserve">Copyright © </w:t>
    </w:r>
    <w:r w:rsidR="00927F62" w:rsidRPr="00394B83">
      <w:rPr>
        <w:sz w:val="17"/>
        <w:szCs w:val="17"/>
      </w:rPr>
      <w:t>20</w:t>
    </w:r>
    <w:r w:rsidR="00927F62">
      <w:rPr>
        <w:sz w:val="17"/>
        <w:szCs w:val="17"/>
      </w:rPr>
      <w:t>16</w:t>
    </w:r>
    <w:r w:rsidR="00927F62" w:rsidRPr="00394B83">
      <w:rPr>
        <w:sz w:val="17"/>
        <w:szCs w:val="17"/>
      </w:rPr>
      <w:t xml:space="preserve"> </w:t>
    </w:r>
    <w:r w:rsidRPr="00394B83">
      <w:rPr>
        <w:sz w:val="17"/>
        <w:szCs w:val="17"/>
      </w:rPr>
      <w:t>John Wiley &amp; Sons Canada, Ltd.  Unauthorized copying, distribution, or transmission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BB1" w:rsidRDefault="00885BB1">
      <w:r>
        <w:separator/>
      </w:r>
    </w:p>
  </w:footnote>
  <w:footnote w:type="continuationSeparator" w:id="0">
    <w:p w:rsidR="00885BB1" w:rsidRDefault="00885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383" w:rsidRPr="00B56C44" w:rsidRDefault="001F7383" w:rsidP="00D0744C">
    <w:pPr>
      <w:pStyle w:val="Header"/>
      <w:tabs>
        <w:tab w:val="clear" w:pos="4320"/>
        <w:tab w:val="center" w:pos="7200"/>
        <w:tab w:val="left" w:pos="8100"/>
      </w:tabs>
      <w:rPr>
        <w:rFonts w:ascii="Arial" w:hAnsi="Arial" w:cs="Arial"/>
        <w:sz w:val="18"/>
        <w:szCs w:val="18"/>
      </w:rPr>
    </w:pPr>
    <w:r w:rsidRPr="00B56C44">
      <w:rPr>
        <w:rFonts w:ascii="Arial" w:hAnsi="Arial" w:cs="Arial"/>
        <w:i/>
        <w:sz w:val="18"/>
        <w:szCs w:val="18"/>
      </w:rPr>
      <w:t>Introduction to Corporate Finance</w:t>
    </w:r>
    <w:r>
      <w:rPr>
        <w:rFonts w:ascii="Arial" w:hAnsi="Arial" w:cs="Arial"/>
        <w:sz w:val="18"/>
        <w:szCs w:val="18"/>
      </w:rPr>
      <w:t xml:space="preserve">, </w:t>
    </w:r>
    <w:r w:rsidR="00927F62">
      <w:rPr>
        <w:rFonts w:ascii="Arial" w:hAnsi="Arial" w:cs="Arial"/>
        <w:sz w:val="18"/>
        <w:szCs w:val="18"/>
      </w:rPr>
      <w:t xml:space="preserve">Fourth </w:t>
    </w:r>
    <w:r>
      <w:rPr>
        <w:rFonts w:ascii="Arial" w:hAnsi="Arial" w:cs="Arial"/>
        <w:sz w:val="18"/>
        <w:szCs w:val="18"/>
      </w:rPr>
      <w:t>Edition</w:t>
    </w:r>
    <w:r w:rsidRPr="00B56C44">
      <w:rPr>
        <w:rFonts w:ascii="Arial" w:hAnsi="Arial" w:cs="Arial"/>
        <w:sz w:val="18"/>
        <w:szCs w:val="18"/>
      </w:rPr>
      <w:tab/>
      <w:t>Booth, Cleary</w:t>
    </w:r>
    <w:r w:rsidR="00927F62">
      <w:rPr>
        <w:rFonts w:ascii="Arial" w:hAnsi="Arial" w:cs="Arial"/>
        <w:sz w:val="18"/>
        <w:szCs w:val="18"/>
      </w:rPr>
      <w:t xml:space="preserve">, </w:t>
    </w:r>
    <w:proofErr w:type="spellStart"/>
    <w:r w:rsidR="00927F62">
      <w:rPr>
        <w:rFonts w:ascii="Arial" w:hAnsi="Arial" w:cs="Arial"/>
        <w:sz w:val="18"/>
        <w:szCs w:val="18"/>
      </w:rPr>
      <w:t>Rakita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67554"/>
    <w:multiLevelType w:val="hybridMultilevel"/>
    <w:tmpl w:val="8C1EF07A"/>
    <w:lvl w:ilvl="0" w:tplc="989057E6">
      <w:start w:val="1"/>
      <w:numFmt w:val="decimal"/>
      <w:lvlText w:val="%1."/>
      <w:lvlJc w:val="left"/>
      <w:pPr>
        <w:tabs>
          <w:tab w:val="num" w:pos="360"/>
        </w:tabs>
        <w:ind w:left="360" w:hanging="360"/>
      </w:pPr>
      <w:rPr>
        <w:rFonts w:hint="default"/>
      </w:rPr>
    </w:lvl>
    <w:lvl w:ilvl="1" w:tplc="E4563ABC">
      <w:start w:val="1"/>
      <w:numFmt w:val="decimal"/>
      <w:lvlText w:val="%2."/>
      <w:lvlJc w:val="left"/>
      <w:pPr>
        <w:tabs>
          <w:tab w:val="num" w:pos="780"/>
        </w:tabs>
        <w:ind w:left="780" w:hanging="360"/>
      </w:pPr>
      <w:rPr>
        <w:rFonts w:hint="default"/>
      </w:rPr>
    </w:lvl>
    <w:lvl w:ilvl="2" w:tplc="1578FB6C">
      <w:start w:val="1"/>
      <w:numFmt w:val="lowerLetter"/>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n Cleary">
    <w15:presenceInfo w15:providerId="AD" w15:userId="S-1-5-21-3703304612-2586302442-3920137336-160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0E"/>
    <w:rsid w:val="00004711"/>
    <w:rsid w:val="00026483"/>
    <w:rsid w:val="00037C41"/>
    <w:rsid w:val="000406D3"/>
    <w:rsid w:val="00051A2D"/>
    <w:rsid w:val="000601C4"/>
    <w:rsid w:val="00072945"/>
    <w:rsid w:val="0007410E"/>
    <w:rsid w:val="00091F11"/>
    <w:rsid w:val="00092B71"/>
    <w:rsid w:val="0009308F"/>
    <w:rsid w:val="0009555E"/>
    <w:rsid w:val="000A3632"/>
    <w:rsid w:val="000A59F2"/>
    <w:rsid w:val="000F2953"/>
    <w:rsid w:val="00114428"/>
    <w:rsid w:val="001810F1"/>
    <w:rsid w:val="001A2386"/>
    <w:rsid w:val="001B5162"/>
    <w:rsid w:val="001B5DD3"/>
    <w:rsid w:val="001F7383"/>
    <w:rsid w:val="00207D10"/>
    <w:rsid w:val="002115B9"/>
    <w:rsid w:val="0023518B"/>
    <w:rsid w:val="002803C8"/>
    <w:rsid w:val="002A7339"/>
    <w:rsid w:val="002D668B"/>
    <w:rsid w:val="002E58FF"/>
    <w:rsid w:val="002F7D8F"/>
    <w:rsid w:val="003172CD"/>
    <w:rsid w:val="003353F1"/>
    <w:rsid w:val="00394B83"/>
    <w:rsid w:val="003C2AA6"/>
    <w:rsid w:val="003D3050"/>
    <w:rsid w:val="003E54BE"/>
    <w:rsid w:val="003F7362"/>
    <w:rsid w:val="004343B9"/>
    <w:rsid w:val="004509D3"/>
    <w:rsid w:val="00463B9D"/>
    <w:rsid w:val="00473C6E"/>
    <w:rsid w:val="00484924"/>
    <w:rsid w:val="004B169B"/>
    <w:rsid w:val="004D10C0"/>
    <w:rsid w:val="00501E3A"/>
    <w:rsid w:val="00505EC3"/>
    <w:rsid w:val="00512FB9"/>
    <w:rsid w:val="0056526B"/>
    <w:rsid w:val="00583734"/>
    <w:rsid w:val="005A086D"/>
    <w:rsid w:val="005A16A3"/>
    <w:rsid w:val="005B5411"/>
    <w:rsid w:val="005C1DAF"/>
    <w:rsid w:val="005D5CFF"/>
    <w:rsid w:val="005E73EB"/>
    <w:rsid w:val="00621D9C"/>
    <w:rsid w:val="00634445"/>
    <w:rsid w:val="006412F1"/>
    <w:rsid w:val="006513D2"/>
    <w:rsid w:val="00694C81"/>
    <w:rsid w:val="0070321A"/>
    <w:rsid w:val="007146C4"/>
    <w:rsid w:val="00717907"/>
    <w:rsid w:val="007518AE"/>
    <w:rsid w:val="00755A61"/>
    <w:rsid w:val="00756D69"/>
    <w:rsid w:val="00773F88"/>
    <w:rsid w:val="007A0A4B"/>
    <w:rsid w:val="007A274B"/>
    <w:rsid w:val="007D743E"/>
    <w:rsid w:val="007E77EC"/>
    <w:rsid w:val="007F02DE"/>
    <w:rsid w:val="007F0513"/>
    <w:rsid w:val="007F0E3F"/>
    <w:rsid w:val="008803A1"/>
    <w:rsid w:val="00882D1E"/>
    <w:rsid w:val="00885BB1"/>
    <w:rsid w:val="008932D1"/>
    <w:rsid w:val="00927F62"/>
    <w:rsid w:val="00946258"/>
    <w:rsid w:val="00947868"/>
    <w:rsid w:val="00972A6D"/>
    <w:rsid w:val="00977598"/>
    <w:rsid w:val="00982609"/>
    <w:rsid w:val="009E6E9C"/>
    <w:rsid w:val="009F37C9"/>
    <w:rsid w:val="00A62FE9"/>
    <w:rsid w:val="00A7648B"/>
    <w:rsid w:val="00AB0B62"/>
    <w:rsid w:val="00AD58FD"/>
    <w:rsid w:val="00B56C44"/>
    <w:rsid w:val="00B82E35"/>
    <w:rsid w:val="00B97ADA"/>
    <w:rsid w:val="00BD6056"/>
    <w:rsid w:val="00BD68D6"/>
    <w:rsid w:val="00C05870"/>
    <w:rsid w:val="00C11108"/>
    <w:rsid w:val="00C26AC5"/>
    <w:rsid w:val="00C658EB"/>
    <w:rsid w:val="00CB750B"/>
    <w:rsid w:val="00CC17A2"/>
    <w:rsid w:val="00CD2B24"/>
    <w:rsid w:val="00D0744C"/>
    <w:rsid w:val="00D13F08"/>
    <w:rsid w:val="00D17AE5"/>
    <w:rsid w:val="00D54FB1"/>
    <w:rsid w:val="00D821C8"/>
    <w:rsid w:val="00D94FAE"/>
    <w:rsid w:val="00D97865"/>
    <w:rsid w:val="00DB04D1"/>
    <w:rsid w:val="00DD3422"/>
    <w:rsid w:val="00DE5A60"/>
    <w:rsid w:val="00E24DB0"/>
    <w:rsid w:val="00E33F58"/>
    <w:rsid w:val="00E5327C"/>
    <w:rsid w:val="00E55214"/>
    <w:rsid w:val="00E9282E"/>
    <w:rsid w:val="00EC62E5"/>
    <w:rsid w:val="00ED3127"/>
    <w:rsid w:val="00F03D90"/>
    <w:rsid w:val="00F04728"/>
    <w:rsid w:val="00F329C7"/>
    <w:rsid w:val="00F774C5"/>
    <w:rsid w:val="00F84221"/>
    <w:rsid w:val="00F908B9"/>
    <w:rsid w:val="00FA7E0B"/>
    <w:rsid w:val="00FC015C"/>
    <w:rsid w:val="00FC3D0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43E"/>
    <w:rPr>
      <w:sz w:val="24"/>
      <w:szCs w:val="24"/>
      <w:lang w:eastAsia="en-US"/>
    </w:rPr>
  </w:style>
  <w:style w:type="paragraph" w:styleId="Heading2">
    <w:name w:val="heading 2"/>
    <w:basedOn w:val="NormalWeb"/>
    <w:link w:val="Heading2Char"/>
    <w:qFormat/>
    <w:rsid w:val="00484924"/>
    <w:pPr>
      <w:keepNext/>
      <w:spacing w:before="100" w:beforeAutospacing="1" w:after="100" w:afterAutospacing="1"/>
      <w:outlineLvl w:val="1"/>
    </w:pPr>
    <w:rPr>
      <w:rFonts w:cs="Arial"/>
      <w:b/>
      <w:bCs/>
      <w:iCs/>
      <w:sz w:val="3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77EC"/>
    <w:pPr>
      <w:widowControl w:val="0"/>
      <w:jc w:val="center"/>
    </w:pPr>
    <w:rPr>
      <w:rFonts w:eastAsia="SimSun"/>
      <w:b/>
      <w:bCs/>
      <w:kern w:val="2"/>
      <w:sz w:val="28"/>
      <w:lang w:val="en-US" w:eastAsia="zh-CN"/>
    </w:rPr>
  </w:style>
  <w:style w:type="paragraph" w:styleId="Header">
    <w:name w:val="header"/>
    <w:basedOn w:val="Normal"/>
    <w:link w:val="HeaderChar"/>
    <w:rsid w:val="00B56C44"/>
    <w:pPr>
      <w:tabs>
        <w:tab w:val="center" w:pos="4320"/>
        <w:tab w:val="right" w:pos="8640"/>
      </w:tabs>
    </w:pPr>
  </w:style>
  <w:style w:type="paragraph" w:styleId="Footer">
    <w:name w:val="footer"/>
    <w:basedOn w:val="Normal"/>
    <w:rsid w:val="00B56C44"/>
    <w:pPr>
      <w:tabs>
        <w:tab w:val="center" w:pos="4320"/>
        <w:tab w:val="right" w:pos="8640"/>
      </w:tabs>
    </w:pPr>
  </w:style>
  <w:style w:type="paragraph" w:customStyle="1" w:styleId="Text">
    <w:name w:val="Text"/>
    <w:basedOn w:val="Normal"/>
    <w:rsid w:val="00B56C44"/>
    <w:pPr>
      <w:widowControl w:val="0"/>
      <w:tabs>
        <w:tab w:val="left" w:pos="480"/>
      </w:tabs>
    </w:pPr>
    <w:rPr>
      <w:rFonts w:ascii="Arial" w:hAnsi="Arial" w:cs="Arial"/>
      <w:bCs/>
      <w:szCs w:val="20"/>
      <w:lang w:val="en-US"/>
    </w:rPr>
  </w:style>
  <w:style w:type="character" w:styleId="PageNumber">
    <w:name w:val="page number"/>
    <w:basedOn w:val="DefaultParagraphFont"/>
    <w:rsid w:val="00B56C44"/>
  </w:style>
  <w:style w:type="character" w:customStyle="1" w:styleId="slatetextbold1">
    <w:name w:val="slatetextbold1"/>
    <w:basedOn w:val="DefaultParagraphFont"/>
    <w:rsid w:val="00B56C44"/>
    <w:rPr>
      <w:rFonts w:ascii="Arial" w:hAnsi="Arial" w:cs="Arial" w:hint="default"/>
      <w:b/>
      <w:bCs/>
      <w:color w:val="354551"/>
      <w:sz w:val="18"/>
      <w:szCs w:val="18"/>
    </w:rPr>
  </w:style>
  <w:style w:type="paragraph" w:styleId="BalloonText">
    <w:name w:val="Balloon Text"/>
    <w:basedOn w:val="Normal"/>
    <w:semiHidden/>
    <w:rsid w:val="00FC015C"/>
    <w:rPr>
      <w:rFonts w:ascii="Tahoma" w:hAnsi="Tahoma" w:cs="Tahoma"/>
      <w:sz w:val="16"/>
      <w:szCs w:val="16"/>
    </w:rPr>
  </w:style>
  <w:style w:type="character" w:styleId="CommentReference">
    <w:name w:val="annotation reference"/>
    <w:basedOn w:val="DefaultParagraphFont"/>
    <w:uiPriority w:val="99"/>
    <w:semiHidden/>
    <w:rsid w:val="00FC015C"/>
    <w:rPr>
      <w:sz w:val="16"/>
      <w:szCs w:val="16"/>
    </w:rPr>
  </w:style>
  <w:style w:type="paragraph" w:styleId="CommentText">
    <w:name w:val="annotation text"/>
    <w:basedOn w:val="Normal"/>
    <w:link w:val="CommentTextChar"/>
    <w:uiPriority w:val="99"/>
    <w:semiHidden/>
    <w:rsid w:val="00FC015C"/>
    <w:rPr>
      <w:sz w:val="20"/>
      <w:szCs w:val="20"/>
    </w:rPr>
  </w:style>
  <w:style w:type="paragraph" w:styleId="CommentSubject">
    <w:name w:val="annotation subject"/>
    <w:basedOn w:val="CommentText"/>
    <w:next w:val="CommentText"/>
    <w:semiHidden/>
    <w:rsid w:val="00FC015C"/>
    <w:rPr>
      <w:b/>
      <w:bCs/>
    </w:rPr>
  </w:style>
  <w:style w:type="table" w:styleId="TableClassic4">
    <w:name w:val="Table Classic 4"/>
    <w:basedOn w:val="TableNormal"/>
    <w:rsid w:val="00C05870"/>
    <w:pPr>
      <w:widowControl w:val="0"/>
      <w:autoSpaceDE w:val="0"/>
      <w:autoSpaceDN w:val="0"/>
      <w:adjustRightInd w:val="0"/>
    </w:pPr>
    <w:rPr>
      <w:rFonts w:ascii="Interstate-Bold" w:hAnsi="Interstate-Bold" w:cs="Interstate-Bold"/>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eBol">
    <w:name w:val="eBol"/>
    <w:basedOn w:val="DefaultParagraphFont"/>
    <w:rsid w:val="00F774C5"/>
    <w:rPr>
      <w:rFonts w:ascii="Times New Roman" w:hAnsi="Times New Roman"/>
      <w:b/>
    </w:rPr>
  </w:style>
  <w:style w:type="character" w:customStyle="1" w:styleId="Heading2Char">
    <w:name w:val="Heading 2 Char"/>
    <w:basedOn w:val="DefaultParagraphFont"/>
    <w:link w:val="Heading2"/>
    <w:rsid w:val="00484924"/>
    <w:rPr>
      <w:rFonts w:cs="Arial"/>
      <w:b/>
      <w:bCs/>
      <w:iCs/>
      <w:sz w:val="38"/>
      <w:szCs w:val="28"/>
      <w:lang w:val="en-US" w:eastAsia="en-US"/>
    </w:rPr>
  </w:style>
  <w:style w:type="character" w:customStyle="1" w:styleId="HeaderChar">
    <w:name w:val="Header Char"/>
    <w:basedOn w:val="DefaultParagraphFont"/>
    <w:link w:val="Header"/>
    <w:rsid w:val="00484924"/>
    <w:rPr>
      <w:sz w:val="24"/>
      <w:szCs w:val="24"/>
      <w:lang w:eastAsia="en-US"/>
    </w:rPr>
  </w:style>
  <w:style w:type="character" w:customStyle="1" w:styleId="CommentTextChar">
    <w:name w:val="Comment Text Char"/>
    <w:basedOn w:val="DefaultParagraphFont"/>
    <w:link w:val="CommentText"/>
    <w:uiPriority w:val="99"/>
    <w:semiHidden/>
    <w:rsid w:val="00484924"/>
    <w:rPr>
      <w:lang w:eastAsia="en-US"/>
    </w:rPr>
  </w:style>
  <w:style w:type="paragraph" w:styleId="NormalWeb">
    <w:name w:val="Normal (Web)"/>
    <w:basedOn w:val="Normal"/>
    <w:semiHidden/>
    <w:unhideWhenUsed/>
    <w:rsid w:val="00484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43E"/>
    <w:rPr>
      <w:sz w:val="24"/>
      <w:szCs w:val="24"/>
      <w:lang w:eastAsia="en-US"/>
    </w:rPr>
  </w:style>
  <w:style w:type="paragraph" w:styleId="Heading2">
    <w:name w:val="heading 2"/>
    <w:basedOn w:val="NormalWeb"/>
    <w:link w:val="Heading2Char"/>
    <w:qFormat/>
    <w:rsid w:val="00484924"/>
    <w:pPr>
      <w:keepNext/>
      <w:spacing w:before="100" w:beforeAutospacing="1" w:after="100" w:afterAutospacing="1"/>
      <w:outlineLvl w:val="1"/>
    </w:pPr>
    <w:rPr>
      <w:rFonts w:cs="Arial"/>
      <w:b/>
      <w:bCs/>
      <w:iCs/>
      <w:sz w:val="3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77EC"/>
    <w:pPr>
      <w:widowControl w:val="0"/>
      <w:jc w:val="center"/>
    </w:pPr>
    <w:rPr>
      <w:rFonts w:eastAsia="SimSun"/>
      <w:b/>
      <w:bCs/>
      <w:kern w:val="2"/>
      <w:sz w:val="28"/>
      <w:lang w:val="en-US" w:eastAsia="zh-CN"/>
    </w:rPr>
  </w:style>
  <w:style w:type="paragraph" w:styleId="Header">
    <w:name w:val="header"/>
    <w:basedOn w:val="Normal"/>
    <w:link w:val="HeaderChar"/>
    <w:rsid w:val="00B56C44"/>
    <w:pPr>
      <w:tabs>
        <w:tab w:val="center" w:pos="4320"/>
        <w:tab w:val="right" w:pos="8640"/>
      </w:tabs>
    </w:pPr>
  </w:style>
  <w:style w:type="paragraph" w:styleId="Footer">
    <w:name w:val="footer"/>
    <w:basedOn w:val="Normal"/>
    <w:rsid w:val="00B56C44"/>
    <w:pPr>
      <w:tabs>
        <w:tab w:val="center" w:pos="4320"/>
        <w:tab w:val="right" w:pos="8640"/>
      </w:tabs>
    </w:pPr>
  </w:style>
  <w:style w:type="paragraph" w:customStyle="1" w:styleId="Text">
    <w:name w:val="Text"/>
    <w:basedOn w:val="Normal"/>
    <w:rsid w:val="00B56C44"/>
    <w:pPr>
      <w:widowControl w:val="0"/>
      <w:tabs>
        <w:tab w:val="left" w:pos="480"/>
      </w:tabs>
    </w:pPr>
    <w:rPr>
      <w:rFonts w:ascii="Arial" w:hAnsi="Arial" w:cs="Arial"/>
      <w:bCs/>
      <w:szCs w:val="20"/>
      <w:lang w:val="en-US"/>
    </w:rPr>
  </w:style>
  <w:style w:type="character" w:styleId="PageNumber">
    <w:name w:val="page number"/>
    <w:basedOn w:val="DefaultParagraphFont"/>
    <w:rsid w:val="00B56C44"/>
  </w:style>
  <w:style w:type="character" w:customStyle="1" w:styleId="slatetextbold1">
    <w:name w:val="slatetextbold1"/>
    <w:basedOn w:val="DefaultParagraphFont"/>
    <w:rsid w:val="00B56C44"/>
    <w:rPr>
      <w:rFonts w:ascii="Arial" w:hAnsi="Arial" w:cs="Arial" w:hint="default"/>
      <w:b/>
      <w:bCs/>
      <w:color w:val="354551"/>
      <w:sz w:val="18"/>
      <w:szCs w:val="18"/>
    </w:rPr>
  </w:style>
  <w:style w:type="paragraph" w:styleId="BalloonText">
    <w:name w:val="Balloon Text"/>
    <w:basedOn w:val="Normal"/>
    <w:semiHidden/>
    <w:rsid w:val="00FC015C"/>
    <w:rPr>
      <w:rFonts w:ascii="Tahoma" w:hAnsi="Tahoma" w:cs="Tahoma"/>
      <w:sz w:val="16"/>
      <w:szCs w:val="16"/>
    </w:rPr>
  </w:style>
  <w:style w:type="character" w:styleId="CommentReference">
    <w:name w:val="annotation reference"/>
    <w:basedOn w:val="DefaultParagraphFont"/>
    <w:uiPriority w:val="99"/>
    <w:semiHidden/>
    <w:rsid w:val="00FC015C"/>
    <w:rPr>
      <w:sz w:val="16"/>
      <w:szCs w:val="16"/>
    </w:rPr>
  </w:style>
  <w:style w:type="paragraph" w:styleId="CommentText">
    <w:name w:val="annotation text"/>
    <w:basedOn w:val="Normal"/>
    <w:link w:val="CommentTextChar"/>
    <w:uiPriority w:val="99"/>
    <w:semiHidden/>
    <w:rsid w:val="00FC015C"/>
    <w:rPr>
      <w:sz w:val="20"/>
      <w:szCs w:val="20"/>
    </w:rPr>
  </w:style>
  <w:style w:type="paragraph" w:styleId="CommentSubject">
    <w:name w:val="annotation subject"/>
    <w:basedOn w:val="CommentText"/>
    <w:next w:val="CommentText"/>
    <w:semiHidden/>
    <w:rsid w:val="00FC015C"/>
    <w:rPr>
      <w:b/>
      <w:bCs/>
    </w:rPr>
  </w:style>
  <w:style w:type="table" w:styleId="TableClassic4">
    <w:name w:val="Table Classic 4"/>
    <w:basedOn w:val="TableNormal"/>
    <w:rsid w:val="00C05870"/>
    <w:pPr>
      <w:widowControl w:val="0"/>
      <w:autoSpaceDE w:val="0"/>
      <w:autoSpaceDN w:val="0"/>
      <w:adjustRightInd w:val="0"/>
    </w:pPr>
    <w:rPr>
      <w:rFonts w:ascii="Interstate-Bold" w:hAnsi="Interstate-Bold" w:cs="Interstate-Bold"/>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eBol">
    <w:name w:val="eBol"/>
    <w:basedOn w:val="DefaultParagraphFont"/>
    <w:rsid w:val="00F774C5"/>
    <w:rPr>
      <w:rFonts w:ascii="Times New Roman" w:hAnsi="Times New Roman"/>
      <w:b/>
    </w:rPr>
  </w:style>
  <w:style w:type="character" w:customStyle="1" w:styleId="Heading2Char">
    <w:name w:val="Heading 2 Char"/>
    <w:basedOn w:val="DefaultParagraphFont"/>
    <w:link w:val="Heading2"/>
    <w:rsid w:val="00484924"/>
    <w:rPr>
      <w:rFonts w:cs="Arial"/>
      <w:b/>
      <w:bCs/>
      <w:iCs/>
      <w:sz w:val="38"/>
      <w:szCs w:val="28"/>
      <w:lang w:val="en-US" w:eastAsia="en-US"/>
    </w:rPr>
  </w:style>
  <w:style w:type="character" w:customStyle="1" w:styleId="HeaderChar">
    <w:name w:val="Header Char"/>
    <w:basedOn w:val="DefaultParagraphFont"/>
    <w:link w:val="Header"/>
    <w:rsid w:val="00484924"/>
    <w:rPr>
      <w:sz w:val="24"/>
      <w:szCs w:val="24"/>
      <w:lang w:eastAsia="en-US"/>
    </w:rPr>
  </w:style>
  <w:style w:type="character" w:customStyle="1" w:styleId="CommentTextChar">
    <w:name w:val="Comment Text Char"/>
    <w:basedOn w:val="DefaultParagraphFont"/>
    <w:link w:val="CommentText"/>
    <w:uiPriority w:val="99"/>
    <w:semiHidden/>
    <w:rsid w:val="00484924"/>
    <w:rPr>
      <w:lang w:eastAsia="en-US"/>
    </w:rPr>
  </w:style>
  <w:style w:type="paragraph" w:styleId="NormalWeb">
    <w:name w:val="Normal (Web)"/>
    <w:basedOn w:val="Normal"/>
    <w:semiHidden/>
    <w:unhideWhenUsed/>
    <w:rsid w:val="0048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1548</Words>
  <Characters>8562</Characters>
  <Application>Microsoft Office Word</Application>
  <DocSecurity>0</DocSecurity>
  <Lines>145</Lines>
  <Paragraphs>56</Paragraphs>
  <ScaleCrop>false</ScaleCrop>
  <HeadingPairs>
    <vt:vector size="2" baseType="variant">
      <vt:variant>
        <vt:lpstr>Title</vt:lpstr>
      </vt:variant>
      <vt:variant>
        <vt:i4>1</vt:i4>
      </vt:variant>
    </vt:vector>
  </HeadingPairs>
  <TitlesOfParts>
    <vt:vector size="1" baseType="lpstr">
      <vt:lpstr>Introduction to Corporate Finance</vt:lpstr>
    </vt:vector>
  </TitlesOfParts>
  <Company>JOHN WILEY &amp; SONS CANADA LTD</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Corporate Finance</dc:title>
  <dc:subject>Chapter 1: An Introduction to Finance</dc:subject>
  <dc:creator>Sean Cleary</dc:creator>
  <cp:lastModifiedBy>Brown, Gail - Toronto</cp:lastModifiedBy>
  <cp:revision>8</cp:revision>
  <cp:lastPrinted>2012-12-20T23:33:00Z</cp:lastPrinted>
  <dcterms:created xsi:type="dcterms:W3CDTF">2015-12-01T16:13:00Z</dcterms:created>
  <dcterms:modified xsi:type="dcterms:W3CDTF">2016-04-01T09:02:00Z</dcterms:modified>
</cp:coreProperties>
</file>