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63E2F" w14:textId="77777777" w:rsidR="00826517" w:rsidRPr="002B22F8" w:rsidRDefault="00826517" w:rsidP="00F40C62">
      <w:pPr>
        <w:suppressAutoHyphens/>
        <w:jc w:val="center"/>
        <w:rPr>
          <w:b/>
          <w:bCs/>
          <w:sz w:val="36"/>
        </w:rPr>
      </w:pPr>
      <w:r w:rsidRPr="002B22F8">
        <w:rPr>
          <w:b/>
          <w:bCs/>
          <w:sz w:val="36"/>
        </w:rPr>
        <w:t>CHAPTER 1</w:t>
      </w:r>
    </w:p>
    <w:p w14:paraId="5E3C369D" w14:textId="77777777" w:rsidR="002B22F8" w:rsidRDefault="005F4E12" w:rsidP="00F40C62">
      <w:pPr>
        <w:suppressAutoHyphens/>
        <w:jc w:val="center"/>
        <w:rPr>
          <w:b/>
          <w:sz w:val="36"/>
          <w:szCs w:val="36"/>
        </w:rPr>
      </w:pPr>
      <w:r w:rsidRPr="002B22F8">
        <w:rPr>
          <w:b/>
          <w:sz w:val="36"/>
          <w:szCs w:val="36"/>
        </w:rPr>
        <w:t>Introduction</w:t>
      </w:r>
    </w:p>
    <w:p w14:paraId="4707FEF3" w14:textId="77777777" w:rsidR="002B22F8" w:rsidRPr="00262FC4" w:rsidRDefault="002B22F8" w:rsidP="00F40C62">
      <w:pPr>
        <w:suppressAutoHyphens/>
      </w:pPr>
    </w:p>
    <w:p w14:paraId="18CC88EC" w14:textId="77777777" w:rsidR="0011564D" w:rsidRPr="00262FC4" w:rsidRDefault="0011564D" w:rsidP="00F40C62">
      <w:pPr>
        <w:suppressAutoHyphens/>
      </w:pPr>
    </w:p>
    <w:p w14:paraId="79AD74A3" w14:textId="77777777" w:rsidR="00826517" w:rsidRPr="002B22F8" w:rsidRDefault="006F1EF8" w:rsidP="00F40C62">
      <w:pPr>
        <w:suppressAutoHyphens/>
        <w:rPr>
          <w:rFonts w:ascii="Helvetica" w:hAnsi="Helvetica"/>
          <w:b/>
          <w:sz w:val="28"/>
          <w:szCs w:val="28"/>
        </w:rPr>
      </w:pPr>
      <w:r>
        <w:rPr>
          <w:rFonts w:ascii="Helvetica" w:hAnsi="Helvetica"/>
          <w:b/>
          <w:sz w:val="28"/>
          <w:szCs w:val="28"/>
        </w:rPr>
        <w:t>KEY IDEAS IN THIS CHAPTER</w:t>
      </w:r>
    </w:p>
    <w:p w14:paraId="0E60862E" w14:textId="77777777" w:rsidR="002B22F8" w:rsidRDefault="002B22F8" w:rsidP="00F40C62">
      <w:pPr>
        <w:suppressAutoHyphens/>
      </w:pPr>
    </w:p>
    <w:p w14:paraId="28085B05" w14:textId="77777777" w:rsidR="006B4D24" w:rsidRDefault="006B4D24" w:rsidP="00F40C62">
      <w:pPr>
        <w:numPr>
          <w:ilvl w:val="0"/>
          <w:numId w:val="17"/>
        </w:numPr>
        <w:tabs>
          <w:tab w:val="clear" w:pos="720"/>
          <w:tab w:val="num" w:pos="360"/>
        </w:tabs>
        <w:suppressAutoHyphens/>
        <w:ind w:left="360"/>
      </w:pPr>
      <w:r>
        <w:t xml:space="preserve">The </w:t>
      </w:r>
      <w:r w:rsidR="007F7560">
        <w:t>primary questions of interest in</w:t>
      </w:r>
      <w:r>
        <w:t xml:space="preserve"> macroeconomics involve the causes of long-run growth and business cycles and the appropriate role for government policy in influencing the economic performance of a nation.</w:t>
      </w:r>
    </w:p>
    <w:p w14:paraId="63988D28" w14:textId="77777777" w:rsidR="00914D20" w:rsidRDefault="00914D20" w:rsidP="00F40C62">
      <w:pPr>
        <w:suppressAutoHyphens/>
      </w:pPr>
    </w:p>
    <w:p w14:paraId="6E6C162A" w14:textId="77777777" w:rsidR="006B4D24" w:rsidRDefault="006B4D24" w:rsidP="00F40C62">
      <w:pPr>
        <w:numPr>
          <w:ilvl w:val="0"/>
          <w:numId w:val="17"/>
        </w:numPr>
        <w:tabs>
          <w:tab w:val="clear" w:pos="720"/>
          <w:tab w:val="num" w:pos="360"/>
        </w:tabs>
        <w:suppressAutoHyphens/>
        <w:ind w:left="360"/>
      </w:pPr>
      <w:r>
        <w:t>Modern macroeconomics analyzes issues associated with long-run growth and business cycles, using models that are based on microeconomic principles.</w:t>
      </w:r>
    </w:p>
    <w:p w14:paraId="439B32E8" w14:textId="77777777" w:rsidR="00914D20" w:rsidRDefault="00914D20" w:rsidP="00F40C62">
      <w:pPr>
        <w:suppressAutoHyphens/>
      </w:pPr>
    </w:p>
    <w:p w14:paraId="33FCCC9E" w14:textId="77777777" w:rsidR="00B87C2C" w:rsidRDefault="006B4D24" w:rsidP="00F40C62">
      <w:pPr>
        <w:numPr>
          <w:ilvl w:val="0"/>
          <w:numId w:val="17"/>
        </w:numPr>
        <w:tabs>
          <w:tab w:val="clear" w:pos="720"/>
          <w:tab w:val="num" w:pos="360"/>
        </w:tabs>
        <w:suppressAutoHyphens/>
        <w:ind w:left="360"/>
      </w:pPr>
      <w:r>
        <w:t xml:space="preserve">Macroeconomists rely primarily on abstract models to draw conclusions about how the macroeconomy works because it is usually very costly or impossible to experiment with the real </w:t>
      </w:r>
      <w:r w:rsidR="00B87C2C">
        <w:t>world economy.</w:t>
      </w:r>
    </w:p>
    <w:p w14:paraId="0442972E" w14:textId="77777777" w:rsidR="00914D20" w:rsidRDefault="00914D20" w:rsidP="00F40C62">
      <w:pPr>
        <w:suppressAutoHyphens/>
      </w:pPr>
    </w:p>
    <w:p w14:paraId="09AE61A8" w14:textId="77777777" w:rsidR="002B22F8" w:rsidRDefault="00B87C2C" w:rsidP="00F40C62">
      <w:pPr>
        <w:numPr>
          <w:ilvl w:val="0"/>
          <w:numId w:val="17"/>
        </w:numPr>
        <w:tabs>
          <w:tab w:val="clear" w:pos="720"/>
          <w:tab w:val="num" w:pos="360"/>
        </w:tabs>
        <w:suppressAutoHyphens/>
        <w:ind w:left="360"/>
      </w:pPr>
      <w:r>
        <w:t xml:space="preserve">There is relatively little disagreement among macroeconomists concerning </w:t>
      </w:r>
      <w:r w:rsidR="00122A40">
        <w:t>a</w:t>
      </w:r>
      <w:r>
        <w:t>pproaches to modeling economic growth, but there are contentious issues in modeling business cycles</w:t>
      </w:r>
      <w:r w:rsidR="00CC1F78">
        <w:t xml:space="preserve">. </w:t>
      </w:r>
    </w:p>
    <w:p w14:paraId="01E52860" w14:textId="77777777" w:rsidR="002B22F8" w:rsidRDefault="002B22F8" w:rsidP="00F40C62">
      <w:pPr>
        <w:suppressAutoHyphens/>
      </w:pPr>
    </w:p>
    <w:p w14:paraId="4F4AA325" w14:textId="77777777" w:rsidR="002B22F8" w:rsidRPr="002B22F8" w:rsidRDefault="002B22F8" w:rsidP="00F40C62">
      <w:pPr>
        <w:suppressAutoHyphens/>
      </w:pPr>
    </w:p>
    <w:p w14:paraId="7D61AC17" w14:textId="77777777" w:rsidR="002B22F8" w:rsidRPr="002B22F8" w:rsidRDefault="00826517" w:rsidP="00F40C62">
      <w:pPr>
        <w:suppressAutoHyphens/>
        <w:rPr>
          <w:rFonts w:ascii="Helvetica" w:hAnsi="Helvetica"/>
          <w:b/>
          <w:sz w:val="28"/>
          <w:szCs w:val="28"/>
        </w:rPr>
      </w:pPr>
      <w:r w:rsidRPr="002B22F8">
        <w:rPr>
          <w:rFonts w:ascii="Helvetica" w:hAnsi="Helvetica"/>
          <w:b/>
          <w:sz w:val="28"/>
          <w:szCs w:val="28"/>
        </w:rPr>
        <w:t xml:space="preserve">NEW IN THE </w:t>
      </w:r>
      <w:r w:rsidR="00602114">
        <w:rPr>
          <w:rFonts w:ascii="Helvetica" w:hAnsi="Helvetica"/>
          <w:b/>
          <w:sz w:val="28"/>
          <w:szCs w:val="28"/>
        </w:rPr>
        <w:t>SIXTH</w:t>
      </w:r>
      <w:r w:rsidRPr="002B22F8">
        <w:rPr>
          <w:rFonts w:ascii="Helvetica" w:hAnsi="Helvetica"/>
          <w:b/>
          <w:sz w:val="28"/>
          <w:szCs w:val="28"/>
        </w:rPr>
        <w:t xml:space="preserve"> EDITION</w:t>
      </w:r>
    </w:p>
    <w:p w14:paraId="2713E38C" w14:textId="77777777" w:rsidR="002B22F8" w:rsidRPr="002B22F8" w:rsidRDefault="002B22F8" w:rsidP="00F40C62">
      <w:pPr>
        <w:suppressAutoHyphens/>
      </w:pPr>
    </w:p>
    <w:p w14:paraId="1DFFD9FF" w14:textId="798426F6" w:rsidR="0007639C" w:rsidRPr="0007639C" w:rsidRDefault="00602114" w:rsidP="0007639C">
      <w:pPr>
        <w:pStyle w:val="ListParagraph"/>
        <w:numPr>
          <w:ilvl w:val="0"/>
          <w:numId w:val="29"/>
        </w:numPr>
        <w:spacing w:before="120" w:after="120"/>
        <w:ind w:left="426" w:hanging="357"/>
      </w:pPr>
      <w:r w:rsidRPr="0007639C">
        <w:t>Chapters 13 and 14 of the fifth edition have been merged into a new Chapter 13</w:t>
      </w:r>
      <w:r w:rsidR="0007639C" w:rsidRPr="0007639C">
        <w:t>.</w:t>
      </w:r>
    </w:p>
    <w:p w14:paraId="04498724" w14:textId="68CF7BB2" w:rsidR="0007639C" w:rsidRPr="0007639C" w:rsidRDefault="00602114" w:rsidP="0007639C">
      <w:pPr>
        <w:pStyle w:val="ListParagraph"/>
        <w:numPr>
          <w:ilvl w:val="0"/>
          <w:numId w:val="29"/>
        </w:numPr>
        <w:spacing w:before="120" w:after="120"/>
        <w:ind w:left="426" w:hanging="357"/>
      </w:pPr>
      <w:r w:rsidRPr="0007639C">
        <w:t>Chapter 18 in the fifth edition has been split into two new Chapters</w:t>
      </w:r>
      <w:r w:rsidR="0007639C">
        <w:t>,</w:t>
      </w:r>
      <w:r w:rsidRPr="0007639C">
        <w:t xml:space="preserve"> 17 and 18, and expanded.</w:t>
      </w:r>
    </w:p>
    <w:p w14:paraId="3F99EF34" w14:textId="5E872689" w:rsidR="00914D20" w:rsidRPr="0007639C" w:rsidRDefault="00826517" w:rsidP="0007639C">
      <w:pPr>
        <w:pStyle w:val="ListParagraph"/>
        <w:numPr>
          <w:ilvl w:val="0"/>
          <w:numId w:val="29"/>
        </w:numPr>
        <w:spacing w:before="120" w:after="120"/>
        <w:ind w:left="426" w:hanging="357"/>
      </w:pPr>
      <w:r w:rsidRPr="0007639C">
        <w:t xml:space="preserve">All data and graphs have been updated. </w:t>
      </w:r>
    </w:p>
    <w:p w14:paraId="0F7A6826" w14:textId="77777777" w:rsidR="00B06C95" w:rsidRPr="0007639C" w:rsidRDefault="00B06C95" w:rsidP="0007639C">
      <w:pPr>
        <w:pStyle w:val="ListParagraph"/>
        <w:numPr>
          <w:ilvl w:val="0"/>
          <w:numId w:val="29"/>
        </w:numPr>
        <w:spacing w:before="120" w:after="120"/>
        <w:ind w:left="426" w:hanging="357"/>
      </w:pPr>
      <w:r w:rsidRPr="0007639C">
        <w:t>The revised discussion on recent and current macroeconomic events incorporates information contained in newly available data.</w:t>
      </w:r>
    </w:p>
    <w:p w14:paraId="65FA2D81" w14:textId="77777777" w:rsidR="002B22F8" w:rsidRPr="0007639C" w:rsidRDefault="002B22F8" w:rsidP="0007639C"/>
    <w:p w14:paraId="49B09471" w14:textId="77777777" w:rsidR="00CD02F1" w:rsidRPr="00F40C62" w:rsidRDefault="00CD02F1" w:rsidP="00F40C62">
      <w:pPr>
        <w:suppressAutoHyphens/>
      </w:pPr>
    </w:p>
    <w:p w14:paraId="163B8014" w14:textId="77777777" w:rsidR="005F4E12" w:rsidRDefault="00826517" w:rsidP="00F40C62">
      <w:pPr>
        <w:suppressAutoHyphens/>
        <w:rPr>
          <w:rFonts w:ascii="Helvetica" w:hAnsi="Helvetica"/>
          <w:b/>
          <w:sz w:val="28"/>
          <w:szCs w:val="28"/>
        </w:rPr>
      </w:pPr>
      <w:r w:rsidRPr="00826517">
        <w:rPr>
          <w:rFonts w:ascii="Helvetica" w:hAnsi="Helvetica"/>
          <w:b/>
          <w:sz w:val="28"/>
          <w:szCs w:val="28"/>
        </w:rPr>
        <w:t>TEACHING GOALS</w:t>
      </w:r>
    </w:p>
    <w:p w14:paraId="03AD4E9E" w14:textId="77777777" w:rsidR="00CD02F1" w:rsidRDefault="00CD02F1" w:rsidP="00F40C62">
      <w:pPr>
        <w:suppressAutoHyphens/>
      </w:pPr>
    </w:p>
    <w:p w14:paraId="2AADC496" w14:textId="77777777" w:rsidR="008503D1" w:rsidRDefault="008503D1" w:rsidP="00F40C62">
      <w:pPr>
        <w:suppressAutoHyphens/>
      </w:pPr>
      <w:r w:rsidRPr="00CD02F1">
        <w:t xml:space="preserve">Macroeconomics </w:t>
      </w:r>
      <w:r w:rsidR="00CD02F1" w:rsidRPr="00CD02F1">
        <w:t xml:space="preserve">is a field of economics which </w:t>
      </w:r>
      <w:r w:rsidRPr="00CD02F1">
        <w:t xml:space="preserve">primarily studies economic growth and business cycles. Over time, there is a prevailing upward trend in the standard of living. However, such growth can be erratic. There are some periods of rapid growth, some periods of rather anemic growth, and also some periods of temporary economic decline. Explanations for the overall upward trend in standards of living are the subject </w:t>
      </w:r>
      <w:r w:rsidR="00A06203">
        <w:br/>
      </w:r>
      <w:r w:rsidRPr="00CD02F1">
        <w:t xml:space="preserve">of economic growth analysis. Explanations of variations in growth over shorter time horizons are the subject of business cycle analysis. Students should be able to distinguish </w:t>
      </w:r>
      <w:r w:rsidRPr="00CD02F1">
        <w:lastRenderedPageBreak/>
        <w:t>between microeconomic topics and macroeconomic topics. Students should understand the distinction between growth analysis and business cycle analysis.</w:t>
      </w:r>
    </w:p>
    <w:p w14:paraId="675B8961" w14:textId="77777777" w:rsidR="008503D1" w:rsidRDefault="008503D1" w:rsidP="00F40C62">
      <w:pPr>
        <w:suppressAutoHyphens/>
      </w:pPr>
      <w:r w:rsidRPr="00CD02F1">
        <w:t xml:space="preserve">Although microeconomics and macroeconomics are separate branches of study, both branches are guided by the same set of economic principles. Standard economic theory is guided by the assumption of maximizing </w:t>
      </w:r>
      <w:proofErr w:type="spellStart"/>
      <w:r w:rsidRPr="00CD02F1">
        <w:t>behavi</w:t>
      </w:r>
      <w:r w:rsidR="005E4E62">
        <w:t>ou</w:t>
      </w:r>
      <w:r w:rsidRPr="00CD02F1">
        <w:t>r</w:t>
      </w:r>
      <w:proofErr w:type="spellEnd"/>
      <w:r w:rsidRPr="00CD02F1">
        <w:t xml:space="preserve">. As a first approximation, we therefore view the macroeconomy as a collection </w:t>
      </w:r>
      <w:r w:rsidR="00CD02F1">
        <w:t xml:space="preserve">of </w:t>
      </w:r>
      <w:r w:rsidRPr="00CD02F1">
        <w:t>markets with maximizing participants. These participants are price-taking agents and the economy is closely approximated by a competitive equilibrium.</w:t>
      </w:r>
    </w:p>
    <w:p w14:paraId="3DB234BE" w14:textId="77777777" w:rsidR="00CD02F1" w:rsidRPr="00CD02F1" w:rsidRDefault="00CD02F1" w:rsidP="00C97F7D"/>
    <w:p w14:paraId="789E2314" w14:textId="77777777" w:rsidR="008503D1" w:rsidRDefault="008503D1" w:rsidP="00F40C62">
      <w:pPr>
        <w:suppressAutoHyphens/>
      </w:pPr>
      <w:r w:rsidRPr="00CD02F1">
        <w:t>Because the economy as a whole is extremely complex, macroeconomists must rely on abstract models. Although the structure of such models does not correspond to all the details of life in a complex society, these models offer the best hope of providing simple, yet accurate</w:t>
      </w:r>
      <w:r w:rsidR="008A0C89">
        <w:t>,</w:t>
      </w:r>
      <w:r w:rsidRPr="00CD02F1">
        <w:t xml:space="preserve"> descriptions of how the macroeconomy works, and how government policies may affect macroeconomic outcomes.</w:t>
      </w:r>
    </w:p>
    <w:p w14:paraId="65B4B019" w14:textId="77777777" w:rsidR="00CD02F1" w:rsidRPr="00CD02F1" w:rsidRDefault="00CD02F1" w:rsidP="00F40C62">
      <w:pPr>
        <w:suppressAutoHyphens/>
      </w:pPr>
    </w:p>
    <w:p w14:paraId="5FD49668" w14:textId="77777777" w:rsidR="005F4E12" w:rsidRPr="00CD02F1" w:rsidRDefault="008503D1" w:rsidP="00F40C62">
      <w:pPr>
        <w:suppressAutoHyphens/>
      </w:pPr>
      <w:r w:rsidRPr="00CD02F1">
        <w:t>Economists are in broad consensus about the mechanisms of economic growth. There is less agreement about the causes and consequences of business cycles. Careful study concludes that most business cycles are very similar in many ways. Therefore, macroeconomists are in search of a logically consistent paradigm for the typical business cycle. Currently popular explan</w:t>
      </w:r>
      <w:r w:rsidR="005E4E62">
        <w:t>ations of the “typical”</w:t>
      </w:r>
      <w:r w:rsidRPr="00CD02F1">
        <w:t xml:space="preserve"> business cycle include </w:t>
      </w:r>
      <w:r w:rsidR="006552EA">
        <w:t xml:space="preserve">New </w:t>
      </w:r>
      <w:r w:rsidRPr="00CD02F1">
        <w:t xml:space="preserve">Keynesian sticky-price models, </w:t>
      </w:r>
      <w:r w:rsidR="006552EA">
        <w:t xml:space="preserve">and </w:t>
      </w:r>
      <w:r w:rsidRPr="00CD02F1">
        <w:t>real business cycle models</w:t>
      </w:r>
      <w:r w:rsidR="006552EA">
        <w:t>.</w:t>
      </w:r>
    </w:p>
    <w:p w14:paraId="799B0020" w14:textId="77777777" w:rsidR="005F4E12" w:rsidRPr="00CD02F1" w:rsidRDefault="005F4E12" w:rsidP="00F40C62">
      <w:pPr>
        <w:suppressAutoHyphens/>
      </w:pPr>
    </w:p>
    <w:p w14:paraId="4A60BE7D" w14:textId="77777777" w:rsidR="0011564D" w:rsidRPr="00CD02F1" w:rsidRDefault="0011564D" w:rsidP="00F40C62">
      <w:pPr>
        <w:suppressAutoHyphens/>
      </w:pPr>
    </w:p>
    <w:p w14:paraId="7C78ACC7" w14:textId="77777777" w:rsidR="005F4E12" w:rsidRPr="005624DF" w:rsidRDefault="005624DF" w:rsidP="00F40C62">
      <w:pPr>
        <w:suppressAutoHyphens/>
        <w:rPr>
          <w:rFonts w:ascii="Helvetica" w:hAnsi="Helvetica"/>
          <w:b/>
          <w:sz w:val="28"/>
          <w:szCs w:val="28"/>
        </w:rPr>
      </w:pPr>
      <w:r w:rsidRPr="005624DF">
        <w:rPr>
          <w:rFonts w:ascii="Helvetica" w:hAnsi="Helvetica"/>
          <w:b/>
          <w:sz w:val="28"/>
          <w:szCs w:val="28"/>
        </w:rPr>
        <w:t>CLASSROOM DISCUSSION TOPICS</w:t>
      </w:r>
    </w:p>
    <w:p w14:paraId="3C8959A9" w14:textId="77777777" w:rsidR="005F4E12" w:rsidRPr="00262FC4" w:rsidRDefault="005F4E12" w:rsidP="00F40C62">
      <w:pPr>
        <w:suppressAutoHyphens/>
      </w:pPr>
    </w:p>
    <w:p w14:paraId="7C417C89" w14:textId="77777777" w:rsidR="0041041F" w:rsidRPr="008A0C89" w:rsidRDefault="0041041F" w:rsidP="00F40C62">
      <w:pPr>
        <w:suppressAutoHyphens/>
      </w:pPr>
      <w:r w:rsidRPr="008A0C89">
        <w:t xml:space="preserve">One good way to get the ball rolling is to list some macroeconomic concerns like stagnant economic growth, unemployment, inflation, government budget deficits, tax burdens, trade deficits, financing of </w:t>
      </w:r>
      <w:r w:rsidR="006552EA">
        <w:t>government entitlement programs</w:t>
      </w:r>
      <w:r w:rsidRPr="008A0C89">
        <w:t xml:space="preserve">, and the like. Ask </w:t>
      </w:r>
      <w:r w:rsidR="008A0C89">
        <w:t xml:space="preserve">students </w:t>
      </w:r>
      <w:r w:rsidRPr="008A0C89">
        <w:t xml:space="preserve">whether they are personally concerned about such problems and what </w:t>
      </w:r>
      <w:r w:rsidR="00C61F01">
        <w:t>ideas</w:t>
      </w:r>
      <w:r w:rsidRPr="008A0C89">
        <w:t xml:space="preserve"> they might have about causes and effects. Sometimes students express concerns about topics </w:t>
      </w:r>
      <w:r w:rsidR="00C61F01">
        <w:t>such as</w:t>
      </w:r>
      <w:r w:rsidRPr="008A0C89">
        <w:t xml:space="preserve"> inequality in the distribution of income and environmental concerns. Emphasize that </w:t>
      </w:r>
      <w:r w:rsidR="00C61F01">
        <w:t>the purpose of the course is to develop a set of basic macroeconomic models and tools, and that we can adapt these models to deal with a wide array of problems</w:t>
      </w:r>
      <w:r w:rsidRPr="008A0C89">
        <w:t>.</w:t>
      </w:r>
    </w:p>
    <w:p w14:paraId="7753934B" w14:textId="77777777" w:rsidR="00F20EF7" w:rsidRPr="008A0C89" w:rsidRDefault="00F20EF7" w:rsidP="00F40C62">
      <w:pPr>
        <w:suppressAutoHyphens/>
      </w:pPr>
    </w:p>
    <w:p w14:paraId="5C46AA71" w14:textId="77777777" w:rsidR="00F20EF7" w:rsidRDefault="00F20EF7" w:rsidP="00F40C62">
      <w:pPr>
        <w:suppressAutoHyphens/>
      </w:pPr>
      <w:r w:rsidRPr="008A0C89">
        <w:t>It would be worthwhile to take a little time to rev</w:t>
      </w:r>
      <w:r w:rsidR="003C4AD1">
        <w:t>iew</w:t>
      </w:r>
      <w:r w:rsidRPr="008A0C89">
        <w:t xml:space="preserve"> the definition of macroeconomics and review the distinction between microeconomics and macroeconomics. </w:t>
      </w:r>
      <w:r w:rsidR="00C032F8" w:rsidRPr="008A0C89">
        <w:t xml:space="preserve">Take </w:t>
      </w:r>
      <w:r w:rsidR="00934315">
        <w:br/>
      </w:r>
      <w:r w:rsidR="00C032F8" w:rsidRPr="008A0C89">
        <w:t>care to point out</w:t>
      </w:r>
      <w:r w:rsidRPr="008A0C89">
        <w:t xml:space="preserve"> that their understanding of how the demand and supply model of microeconomics works is </w:t>
      </w:r>
      <w:r w:rsidR="00C032F8" w:rsidRPr="008A0C89">
        <w:t xml:space="preserve">the </w:t>
      </w:r>
      <w:r w:rsidRPr="008A0C89">
        <w:t xml:space="preserve">key to the understanding how markets in macroeconomics work. This approach </w:t>
      </w:r>
      <w:r w:rsidR="00C032F8" w:rsidRPr="008A0C89">
        <w:t>should</w:t>
      </w:r>
      <w:r w:rsidRPr="008A0C89">
        <w:t xml:space="preserve"> help retain students’ motivation as they switch</w:t>
      </w:r>
      <w:r w:rsidR="00683680" w:rsidRPr="008A0C89">
        <w:t xml:space="preserve"> from microeconomics</w:t>
      </w:r>
      <w:r w:rsidRPr="008A0C89">
        <w:t xml:space="preserve"> to macroeconomics.</w:t>
      </w:r>
    </w:p>
    <w:p w14:paraId="1E05972E" w14:textId="77777777" w:rsidR="008A0C89" w:rsidRPr="008A0C89" w:rsidRDefault="008A0C89" w:rsidP="00F40C62">
      <w:pPr>
        <w:suppressAutoHyphens/>
      </w:pPr>
    </w:p>
    <w:p w14:paraId="5785894A" w14:textId="77777777" w:rsidR="005F4E12" w:rsidRPr="008A0C89" w:rsidRDefault="0041041F" w:rsidP="00F40C62">
      <w:pPr>
        <w:suppressAutoHyphens/>
      </w:pPr>
      <w:r w:rsidRPr="008A0C89">
        <w:t>Students often have conflicting ideas about the current state of the economy. Sometimes their perspectives may be governed by their individual circumstances</w:t>
      </w:r>
      <w:r w:rsidR="00C61F01">
        <w:t xml:space="preserve"> and what they read in the media</w:t>
      </w:r>
      <w:r w:rsidRPr="008A0C89">
        <w:t>. Ask them whether they believe that times are currently good or bad. Ask them why they think the way they do. Ask them how they can more objectively back up or check out their casual impressions about the current state of the economy.</w:t>
      </w:r>
    </w:p>
    <w:p w14:paraId="38F0C3F5" w14:textId="77777777" w:rsidR="00153832" w:rsidRDefault="00153832" w:rsidP="00F40C62">
      <w:pPr>
        <w:suppressAutoHyphens/>
      </w:pPr>
      <w:r w:rsidRPr="008A0C89">
        <w:lastRenderedPageBreak/>
        <w:t>Students are interested in economic growt</w:t>
      </w:r>
      <w:r w:rsidR="00FE6ABB" w:rsidRPr="008A0C89">
        <w:t xml:space="preserve">h, unemployment, inflation, government budget </w:t>
      </w:r>
      <w:r w:rsidRPr="008A0C89">
        <w:t>deficits</w:t>
      </w:r>
      <w:r w:rsidR="00FE6ABB" w:rsidRPr="008A0C89">
        <w:t>, and trade deficits</w:t>
      </w:r>
      <w:r w:rsidRPr="008A0C89">
        <w:t xml:space="preserve">. </w:t>
      </w:r>
      <w:r w:rsidR="00FE6ABB" w:rsidRPr="008A0C89">
        <w:t xml:space="preserve">An effective way to motivate this chapter and attract students’ attention would be to </w:t>
      </w:r>
      <w:r w:rsidRPr="008A0C89">
        <w:t>cast these topics in terms of what the economy will be like when they graduate</w:t>
      </w:r>
      <w:r w:rsidR="00FE6ABB" w:rsidRPr="008A0C89">
        <w:t>.</w:t>
      </w:r>
      <w:r w:rsidRPr="008A0C89">
        <w:t xml:space="preserve"> </w:t>
      </w:r>
      <w:r w:rsidR="00D16F5D" w:rsidRPr="008A0C89">
        <w:t>The quantity of goods and services</w:t>
      </w:r>
      <w:r w:rsidR="006552EA">
        <w:t xml:space="preserve"> produced per capita</w:t>
      </w:r>
      <w:r w:rsidR="00D16F5D" w:rsidRPr="008A0C89">
        <w:t xml:space="preserve"> has expanded more than </w:t>
      </w:r>
      <w:r w:rsidR="006552EA">
        <w:t>a factor of 16 since 1870</w:t>
      </w:r>
      <w:r w:rsidR="00CC1F78">
        <w:t xml:space="preserve">. </w:t>
      </w:r>
      <w:r w:rsidR="006F7D12" w:rsidRPr="008A0C89">
        <w:t xml:space="preserve">Ask them whether they expect </w:t>
      </w:r>
      <w:r w:rsidR="00D16F5D" w:rsidRPr="008A0C89">
        <w:t>this to continue</w:t>
      </w:r>
      <w:r w:rsidR="00352AB3">
        <w:t xml:space="preserve">. Ask them if they think </w:t>
      </w:r>
      <w:r w:rsidRPr="008A0C89">
        <w:t xml:space="preserve">the economy will be booming or in a recession when they graduate. </w:t>
      </w:r>
      <w:r w:rsidR="006F7D12" w:rsidRPr="008A0C89">
        <w:t xml:space="preserve">Will jobs be plentiful or scarce when they graduate? </w:t>
      </w:r>
      <w:r w:rsidRPr="008A0C89">
        <w:t>Ask them what observat</w:t>
      </w:r>
      <w:r w:rsidR="006F7D12" w:rsidRPr="008A0C89">
        <w:t>ions led them to their forecasts</w:t>
      </w:r>
      <w:r w:rsidRPr="008A0C89">
        <w:t>.</w:t>
      </w:r>
      <w:r w:rsidR="006F7D12" w:rsidRPr="008A0C89">
        <w:t xml:space="preserve"> P</w:t>
      </w:r>
      <w:r w:rsidRPr="008A0C89">
        <w:t xml:space="preserve">resent a selection of published forecasts to show students the range of what economists are forecasting </w:t>
      </w:r>
      <w:r w:rsidR="00352AB3">
        <w:t xml:space="preserve">for </w:t>
      </w:r>
      <w:r w:rsidRPr="008A0C89">
        <w:t xml:space="preserve">the </w:t>
      </w:r>
      <w:r w:rsidR="006F7D12" w:rsidRPr="008A0C89">
        <w:t>up</w:t>
      </w:r>
      <w:r w:rsidRPr="008A0C89">
        <w:t>coming years.</w:t>
      </w:r>
      <w:r w:rsidR="006F7D12" w:rsidRPr="008A0C89">
        <w:t xml:space="preserve"> Emphasize</w:t>
      </w:r>
      <w:r w:rsidRPr="008A0C89">
        <w:t xml:space="preserve"> that economists forecast the path of the economy but th</w:t>
      </w:r>
      <w:r w:rsidR="00420B7D">
        <w:t>ey cannot do so with certainty.</w:t>
      </w:r>
    </w:p>
    <w:p w14:paraId="079A7350" w14:textId="77777777" w:rsidR="00420B7D" w:rsidRDefault="00420B7D" w:rsidP="00F40C62">
      <w:pPr>
        <w:suppressAutoHyphens/>
      </w:pPr>
    </w:p>
    <w:p w14:paraId="4B46675A" w14:textId="77777777" w:rsidR="00420B7D" w:rsidRPr="008A0C89" w:rsidRDefault="00420B7D" w:rsidP="00F40C62">
      <w:pPr>
        <w:suppressAutoHyphens/>
      </w:pPr>
      <w:r>
        <w:t xml:space="preserve">Students may be particularly interested in the </w:t>
      </w:r>
      <w:r w:rsidR="006552EA">
        <w:t>post-financial crisis period, and how to explain it</w:t>
      </w:r>
      <w:r>
        <w:t xml:space="preserve">. </w:t>
      </w:r>
      <w:r w:rsidR="006552EA">
        <w:t xml:space="preserve">Growth has on average been lower over that period than was the case before the financial crisis. Why? Is there an impending recession? Why or why not? </w:t>
      </w:r>
      <w:r>
        <w:t xml:space="preserve">Emphasize that there is plenty of off-the-shelf theory that can be brought to bear to organize our thinking about </w:t>
      </w:r>
      <w:r w:rsidR="006552EA">
        <w:t>these issues</w:t>
      </w:r>
      <w:r>
        <w:t>.</w:t>
      </w:r>
    </w:p>
    <w:p w14:paraId="66F7D6BD" w14:textId="77777777" w:rsidR="00262FC4" w:rsidRDefault="00262FC4" w:rsidP="00F40C62">
      <w:pPr>
        <w:suppressAutoHyphens/>
      </w:pPr>
    </w:p>
    <w:p w14:paraId="4CF5F1D7" w14:textId="77777777" w:rsidR="001B25A7" w:rsidRPr="008A0C89" w:rsidRDefault="001B25A7" w:rsidP="00F40C62">
      <w:pPr>
        <w:suppressAutoHyphens/>
      </w:pPr>
    </w:p>
    <w:p w14:paraId="124BB580" w14:textId="77777777" w:rsidR="005F4E12" w:rsidRPr="005624DF" w:rsidRDefault="005624DF" w:rsidP="00F40C62">
      <w:pPr>
        <w:suppressAutoHyphens/>
        <w:rPr>
          <w:rFonts w:ascii="Helvetica" w:hAnsi="Helvetica"/>
          <w:b/>
          <w:sz w:val="28"/>
          <w:szCs w:val="28"/>
        </w:rPr>
      </w:pPr>
      <w:r w:rsidRPr="005624DF">
        <w:rPr>
          <w:rFonts w:ascii="Helvetica" w:hAnsi="Helvetica"/>
          <w:b/>
          <w:sz w:val="28"/>
          <w:szCs w:val="28"/>
        </w:rPr>
        <w:t>OUTLINE</w:t>
      </w:r>
    </w:p>
    <w:p w14:paraId="7D7EB4A8" w14:textId="77777777" w:rsidR="005F4E12" w:rsidRDefault="005F4E12" w:rsidP="00F40C62">
      <w:pPr>
        <w:suppressAutoHyphens/>
      </w:pPr>
    </w:p>
    <w:p w14:paraId="00E583FA" w14:textId="77777777" w:rsidR="005F4E12" w:rsidRDefault="005F4E12" w:rsidP="00F40C62">
      <w:pPr>
        <w:numPr>
          <w:ilvl w:val="0"/>
          <w:numId w:val="1"/>
        </w:numPr>
        <w:suppressAutoHyphens/>
        <w:rPr>
          <w:b/>
        </w:rPr>
      </w:pPr>
      <w:r w:rsidRPr="00E674C7">
        <w:rPr>
          <w:b/>
        </w:rPr>
        <w:t xml:space="preserve">What </w:t>
      </w:r>
      <w:r w:rsidR="003C4AD1">
        <w:rPr>
          <w:b/>
        </w:rPr>
        <w:t>I</w:t>
      </w:r>
      <w:r w:rsidRPr="00E674C7">
        <w:rPr>
          <w:b/>
        </w:rPr>
        <w:t>s Macroeconomics?</w:t>
      </w:r>
    </w:p>
    <w:p w14:paraId="0004B383" w14:textId="77777777" w:rsidR="00C97F7D" w:rsidRPr="00C97F7D" w:rsidRDefault="00C97F7D" w:rsidP="00C97F7D"/>
    <w:p w14:paraId="4F676A14" w14:textId="77777777" w:rsidR="005F4E12" w:rsidRPr="00E674C7" w:rsidRDefault="005F4E12" w:rsidP="00F40C62">
      <w:pPr>
        <w:numPr>
          <w:ilvl w:val="0"/>
          <w:numId w:val="1"/>
        </w:numPr>
        <w:suppressAutoHyphens/>
        <w:rPr>
          <w:b/>
        </w:rPr>
      </w:pPr>
      <w:r w:rsidRPr="00E674C7">
        <w:rPr>
          <w:b/>
        </w:rPr>
        <w:t>Gross Domestic Product, Economic Growth, and Business Cycles</w:t>
      </w:r>
    </w:p>
    <w:p w14:paraId="4D5D5D2A" w14:textId="77777777" w:rsidR="005F4E12" w:rsidRDefault="005F4E12" w:rsidP="00F40C62">
      <w:pPr>
        <w:numPr>
          <w:ilvl w:val="1"/>
          <w:numId w:val="1"/>
        </w:numPr>
        <w:suppressAutoHyphens/>
      </w:pPr>
      <w:r>
        <w:t>Adjustments for Inflation and Population Growth</w:t>
      </w:r>
    </w:p>
    <w:p w14:paraId="11CBE449" w14:textId="77777777" w:rsidR="005F4E12" w:rsidRDefault="005F4E12" w:rsidP="00F40C62">
      <w:pPr>
        <w:numPr>
          <w:ilvl w:val="1"/>
          <w:numId w:val="1"/>
        </w:numPr>
        <w:suppressAutoHyphens/>
      </w:pPr>
      <w:r>
        <w:t>Historical Per Capita Real GDP Growth Perspectives</w:t>
      </w:r>
    </w:p>
    <w:p w14:paraId="560177B2" w14:textId="77777777" w:rsidR="005F4E12" w:rsidRDefault="005F4E12" w:rsidP="00F40C62">
      <w:pPr>
        <w:numPr>
          <w:ilvl w:val="1"/>
          <w:numId w:val="1"/>
        </w:numPr>
        <w:suppressAutoHyphens/>
      </w:pPr>
      <w:r>
        <w:t>The Great Depression and World War II: Business Cycles</w:t>
      </w:r>
    </w:p>
    <w:p w14:paraId="1159C3D4" w14:textId="77777777" w:rsidR="005F4E12" w:rsidRDefault="005F4E12" w:rsidP="00F40C62">
      <w:pPr>
        <w:numPr>
          <w:ilvl w:val="1"/>
          <w:numId w:val="1"/>
        </w:numPr>
        <w:suppressAutoHyphens/>
      </w:pPr>
      <w:r>
        <w:t>Growth Measurement</w:t>
      </w:r>
    </w:p>
    <w:p w14:paraId="3BBA5F87" w14:textId="77777777" w:rsidR="005F4E12" w:rsidRDefault="00E674C7" w:rsidP="00F40C62">
      <w:pPr>
        <w:numPr>
          <w:ilvl w:val="1"/>
          <w:numId w:val="1"/>
        </w:numPr>
        <w:suppressAutoHyphens/>
      </w:pPr>
      <w:r>
        <w:t>Trend and Cyclical Components</w:t>
      </w:r>
    </w:p>
    <w:p w14:paraId="77EF8AC4" w14:textId="77777777" w:rsidR="00C97F7D" w:rsidRDefault="00C97F7D" w:rsidP="00C97F7D"/>
    <w:p w14:paraId="3BAB8168" w14:textId="77777777" w:rsidR="005F4E12" w:rsidRPr="00E674C7" w:rsidRDefault="005F4E12" w:rsidP="00F40C62">
      <w:pPr>
        <w:numPr>
          <w:ilvl w:val="0"/>
          <w:numId w:val="1"/>
        </w:numPr>
        <w:suppressAutoHyphens/>
        <w:rPr>
          <w:b/>
        </w:rPr>
      </w:pPr>
      <w:r w:rsidRPr="00E674C7">
        <w:rPr>
          <w:b/>
        </w:rPr>
        <w:t>Macroeconomic Models</w:t>
      </w:r>
    </w:p>
    <w:p w14:paraId="3D904487" w14:textId="77777777" w:rsidR="005F4E12" w:rsidRDefault="005F4E12" w:rsidP="00F40C62">
      <w:pPr>
        <w:numPr>
          <w:ilvl w:val="1"/>
          <w:numId w:val="1"/>
        </w:numPr>
        <w:suppressAutoHyphens/>
      </w:pPr>
      <w:r>
        <w:t>Model</w:t>
      </w:r>
      <w:r w:rsidR="00BE7FBA">
        <w:t>l</w:t>
      </w:r>
      <w:r>
        <w:t>ing in General</w:t>
      </w:r>
    </w:p>
    <w:p w14:paraId="62A1CF66" w14:textId="77777777" w:rsidR="005F4E12" w:rsidRDefault="005F4E12" w:rsidP="00F40C62">
      <w:pPr>
        <w:numPr>
          <w:ilvl w:val="1"/>
          <w:numId w:val="1"/>
        </w:numPr>
        <w:suppressAutoHyphens/>
      </w:pPr>
      <w:r>
        <w:t xml:space="preserve">Rational </w:t>
      </w:r>
      <w:proofErr w:type="spellStart"/>
      <w:r>
        <w:t>Behaviour</w:t>
      </w:r>
      <w:proofErr w:type="spellEnd"/>
    </w:p>
    <w:p w14:paraId="749E6C85" w14:textId="77777777" w:rsidR="00C97F7D" w:rsidRDefault="005F4E12" w:rsidP="00F40C62">
      <w:pPr>
        <w:numPr>
          <w:ilvl w:val="1"/>
          <w:numId w:val="1"/>
        </w:numPr>
        <w:suppressAutoHyphens/>
      </w:pPr>
      <w:r>
        <w:t>Competitive Equilibrium</w:t>
      </w:r>
    </w:p>
    <w:p w14:paraId="7CB61CCE" w14:textId="77777777" w:rsidR="005F4E12" w:rsidRDefault="005F4E12" w:rsidP="00C97F7D"/>
    <w:p w14:paraId="717BF9A7" w14:textId="77777777" w:rsidR="005F4E12" w:rsidRPr="00E674C7" w:rsidRDefault="005F4E12" w:rsidP="00F40C62">
      <w:pPr>
        <w:numPr>
          <w:ilvl w:val="0"/>
          <w:numId w:val="1"/>
        </w:numPr>
        <w:suppressAutoHyphens/>
        <w:rPr>
          <w:b/>
        </w:rPr>
      </w:pPr>
      <w:r w:rsidRPr="00E674C7">
        <w:rPr>
          <w:b/>
        </w:rPr>
        <w:t>Microeconomic Principles</w:t>
      </w:r>
    </w:p>
    <w:p w14:paraId="3C256E62" w14:textId="77777777" w:rsidR="005F4E12" w:rsidRDefault="005F4E12" w:rsidP="00F40C62">
      <w:pPr>
        <w:numPr>
          <w:ilvl w:val="1"/>
          <w:numId w:val="1"/>
        </w:numPr>
        <w:suppressAutoHyphens/>
      </w:pPr>
      <w:r>
        <w:t xml:space="preserve">When </w:t>
      </w:r>
      <w:r w:rsidR="00F001D6">
        <w:t>D</w:t>
      </w:r>
      <w:r>
        <w:t xml:space="preserve">o Microeconomic Reactions </w:t>
      </w:r>
      <w:r w:rsidR="00F001D6">
        <w:t>A</w:t>
      </w:r>
      <w:r>
        <w:t>ffect Macroeconomic Outcomes?</w:t>
      </w:r>
    </w:p>
    <w:p w14:paraId="0308830B" w14:textId="77777777" w:rsidR="005F4E12" w:rsidRDefault="005F4E12" w:rsidP="00F40C62">
      <w:pPr>
        <w:numPr>
          <w:ilvl w:val="1"/>
          <w:numId w:val="1"/>
        </w:numPr>
        <w:suppressAutoHyphens/>
      </w:pPr>
      <w:r>
        <w:t>Rational Expectations and the Lucas Critique</w:t>
      </w:r>
    </w:p>
    <w:p w14:paraId="7897DD83" w14:textId="77777777" w:rsidR="00C97F7D" w:rsidRDefault="00C97F7D" w:rsidP="00C97F7D"/>
    <w:p w14:paraId="7519E459" w14:textId="77777777" w:rsidR="005F4E12" w:rsidRPr="00E674C7" w:rsidRDefault="005F4E12" w:rsidP="00F40C62">
      <w:pPr>
        <w:numPr>
          <w:ilvl w:val="0"/>
          <w:numId w:val="1"/>
        </w:numPr>
        <w:suppressAutoHyphens/>
        <w:rPr>
          <w:b/>
        </w:rPr>
      </w:pPr>
      <w:r w:rsidRPr="00E674C7">
        <w:rPr>
          <w:b/>
        </w:rPr>
        <w:t>Disagreement in Macroeconomics</w:t>
      </w:r>
    </w:p>
    <w:p w14:paraId="7D5A218A" w14:textId="77777777" w:rsidR="005F4E12" w:rsidRDefault="00C70D7E" w:rsidP="00F40C62">
      <w:pPr>
        <w:numPr>
          <w:ilvl w:val="1"/>
          <w:numId w:val="1"/>
        </w:numPr>
        <w:suppressAutoHyphens/>
      </w:pPr>
      <w:r>
        <w:t xml:space="preserve">Solow Growth Model and </w:t>
      </w:r>
      <w:r w:rsidR="005F4E12">
        <w:t>Endogenous Growth Models</w:t>
      </w:r>
    </w:p>
    <w:p w14:paraId="05C5AB0A" w14:textId="77777777" w:rsidR="005F4E12" w:rsidRDefault="00C70D7E" w:rsidP="00F40C62">
      <w:pPr>
        <w:numPr>
          <w:ilvl w:val="1"/>
          <w:numId w:val="1"/>
        </w:numPr>
        <w:suppressAutoHyphens/>
      </w:pPr>
      <w:r>
        <w:t>Keynesian and non-Keynesian Models</w:t>
      </w:r>
    </w:p>
    <w:p w14:paraId="0B3F5483" w14:textId="77777777" w:rsidR="005F4E12" w:rsidRDefault="005F4E12" w:rsidP="00F40C62">
      <w:pPr>
        <w:numPr>
          <w:ilvl w:val="1"/>
          <w:numId w:val="1"/>
        </w:numPr>
        <w:suppressAutoHyphens/>
      </w:pPr>
      <w:r>
        <w:t xml:space="preserve">Real Business Cycle </w:t>
      </w:r>
      <w:r w:rsidR="00E674C7">
        <w:t>Theory</w:t>
      </w:r>
    </w:p>
    <w:p w14:paraId="1799C9B5" w14:textId="77777777" w:rsidR="00C7573F" w:rsidRDefault="00C70D7E" w:rsidP="00F40C62">
      <w:pPr>
        <w:numPr>
          <w:ilvl w:val="1"/>
          <w:numId w:val="1"/>
        </w:numPr>
        <w:suppressAutoHyphens/>
      </w:pPr>
      <w:r>
        <w:t>Sticky price model</w:t>
      </w:r>
    </w:p>
    <w:p w14:paraId="01DBED5D" w14:textId="77777777" w:rsidR="005F4E12" w:rsidRPr="009D086B" w:rsidRDefault="00C97F7D" w:rsidP="00F40C62">
      <w:pPr>
        <w:numPr>
          <w:ilvl w:val="0"/>
          <w:numId w:val="1"/>
        </w:numPr>
        <w:suppressAutoHyphens/>
        <w:rPr>
          <w:b/>
        </w:rPr>
      </w:pPr>
      <w:r>
        <w:rPr>
          <w:b/>
        </w:rPr>
        <w:br w:type="page"/>
      </w:r>
      <w:r w:rsidR="005F4E12" w:rsidRPr="009D086B">
        <w:rPr>
          <w:b/>
        </w:rPr>
        <w:lastRenderedPageBreak/>
        <w:t>What Do We Learn from Macroeconomic Analysis?</w:t>
      </w:r>
    </w:p>
    <w:p w14:paraId="6D2DBCA2" w14:textId="77777777" w:rsidR="005F4E12" w:rsidRDefault="005F4E12" w:rsidP="00F40C62">
      <w:pPr>
        <w:numPr>
          <w:ilvl w:val="1"/>
          <w:numId w:val="1"/>
        </w:numPr>
        <w:suppressAutoHyphens/>
      </w:pPr>
      <w:r>
        <w:t>Fundamentals: Preferences and Productive Capacity</w:t>
      </w:r>
    </w:p>
    <w:p w14:paraId="0EAA875F" w14:textId="77777777" w:rsidR="005F4E12" w:rsidRDefault="005F4E12" w:rsidP="00F40C62">
      <w:pPr>
        <w:numPr>
          <w:ilvl w:val="1"/>
          <w:numId w:val="1"/>
        </w:numPr>
        <w:suppressAutoHyphens/>
      </w:pPr>
      <w:r>
        <w:t>The Efficiency of Economic Outcomes</w:t>
      </w:r>
    </w:p>
    <w:p w14:paraId="3F17FCF0" w14:textId="77777777" w:rsidR="005F4E12" w:rsidRDefault="00C70D7E" w:rsidP="00F40C62">
      <w:pPr>
        <w:numPr>
          <w:ilvl w:val="1"/>
          <w:numId w:val="1"/>
        </w:numPr>
        <w:suppressAutoHyphens/>
      </w:pPr>
      <w:r>
        <w:t>The Role of Unemployment</w:t>
      </w:r>
    </w:p>
    <w:p w14:paraId="164F4A39" w14:textId="77777777" w:rsidR="009D086B" w:rsidRDefault="00C70D7E" w:rsidP="00F40C62">
      <w:pPr>
        <w:numPr>
          <w:ilvl w:val="1"/>
          <w:numId w:val="1"/>
        </w:numPr>
        <w:suppressAutoHyphens/>
      </w:pPr>
      <w:r>
        <w:t>Technological Progress and the Standard of Living</w:t>
      </w:r>
    </w:p>
    <w:p w14:paraId="7ADF27AC" w14:textId="77777777" w:rsidR="005F4E12" w:rsidRDefault="00C70D7E" w:rsidP="00F40C62">
      <w:pPr>
        <w:numPr>
          <w:ilvl w:val="1"/>
          <w:numId w:val="1"/>
        </w:numPr>
        <w:suppressAutoHyphens/>
      </w:pPr>
      <w:r>
        <w:t>Tax Policy</w:t>
      </w:r>
    </w:p>
    <w:p w14:paraId="5E01EFD0" w14:textId="77777777" w:rsidR="009D086B" w:rsidRDefault="00C70D7E" w:rsidP="00F40C62">
      <w:pPr>
        <w:numPr>
          <w:ilvl w:val="1"/>
          <w:numId w:val="1"/>
        </w:numPr>
        <w:suppressAutoHyphens/>
      </w:pPr>
      <w:r>
        <w:t>Expectations</w:t>
      </w:r>
    </w:p>
    <w:p w14:paraId="0B59E1FF" w14:textId="77777777" w:rsidR="005F4E12" w:rsidRDefault="00635A89" w:rsidP="00F40C62">
      <w:pPr>
        <w:numPr>
          <w:ilvl w:val="1"/>
          <w:numId w:val="1"/>
        </w:numPr>
        <w:suppressAutoHyphens/>
      </w:pPr>
      <w:r>
        <w:t>Inflation: Phillips curves and Fisher relations</w:t>
      </w:r>
    </w:p>
    <w:p w14:paraId="123FA88A" w14:textId="77777777" w:rsidR="005F4E12" w:rsidRDefault="00C70D7E" w:rsidP="00F40C62">
      <w:pPr>
        <w:numPr>
          <w:ilvl w:val="1"/>
          <w:numId w:val="1"/>
        </w:numPr>
        <w:suppressAutoHyphens/>
      </w:pPr>
      <w:r>
        <w:t>Causes of Business Cycles</w:t>
      </w:r>
    </w:p>
    <w:p w14:paraId="2F3172C0" w14:textId="77777777" w:rsidR="009D086B" w:rsidRDefault="00C70D7E" w:rsidP="00F40C62">
      <w:pPr>
        <w:numPr>
          <w:ilvl w:val="1"/>
          <w:numId w:val="1"/>
        </w:numPr>
        <w:suppressAutoHyphens/>
      </w:pPr>
      <w:r>
        <w:t>Gains from International Trade and Effects on Business Cycles</w:t>
      </w:r>
    </w:p>
    <w:p w14:paraId="170C0792" w14:textId="77777777" w:rsidR="006552EA" w:rsidRDefault="006552EA" w:rsidP="00F40C62">
      <w:pPr>
        <w:numPr>
          <w:ilvl w:val="1"/>
          <w:numId w:val="1"/>
        </w:numPr>
        <w:suppressAutoHyphens/>
      </w:pPr>
      <w:r>
        <w:t>Inflation and Money Growth</w:t>
      </w:r>
    </w:p>
    <w:p w14:paraId="438B1B05" w14:textId="77777777" w:rsidR="006552EA" w:rsidRDefault="006552EA" w:rsidP="006552EA">
      <w:pPr>
        <w:suppressAutoHyphens/>
        <w:ind w:left="720"/>
      </w:pPr>
    </w:p>
    <w:p w14:paraId="4A986462" w14:textId="77777777" w:rsidR="005F4E12" w:rsidRDefault="005F4E12" w:rsidP="00677EDB"/>
    <w:p w14:paraId="534FEE13" w14:textId="77777777" w:rsidR="005F4E12" w:rsidRPr="009D086B" w:rsidRDefault="005F4E12" w:rsidP="00F40C62">
      <w:pPr>
        <w:numPr>
          <w:ilvl w:val="0"/>
          <w:numId w:val="1"/>
        </w:numPr>
        <w:suppressAutoHyphens/>
        <w:rPr>
          <w:b/>
        </w:rPr>
      </w:pPr>
      <w:r w:rsidRPr="009D086B">
        <w:rPr>
          <w:b/>
        </w:rPr>
        <w:t>Understanding Recent and Current Macroeconomic Events</w:t>
      </w:r>
    </w:p>
    <w:p w14:paraId="3C6D2D03" w14:textId="77777777" w:rsidR="005F4E12" w:rsidRDefault="005F4E12" w:rsidP="00F40C62">
      <w:pPr>
        <w:numPr>
          <w:ilvl w:val="1"/>
          <w:numId w:val="1"/>
        </w:numPr>
        <w:suppressAutoHyphens/>
      </w:pPr>
      <w:r>
        <w:t>The Productivity Slowdown</w:t>
      </w:r>
    </w:p>
    <w:p w14:paraId="4364AB53" w14:textId="77777777" w:rsidR="005F4E12" w:rsidRDefault="005F4E12" w:rsidP="00F40C62">
      <w:pPr>
        <w:numPr>
          <w:ilvl w:val="1"/>
          <w:numId w:val="1"/>
        </w:numPr>
        <w:suppressAutoHyphens/>
      </w:pPr>
      <w:r>
        <w:t>Government Income, Government Outlays, and the Government Deficit</w:t>
      </w:r>
    </w:p>
    <w:p w14:paraId="080D63D3" w14:textId="77777777" w:rsidR="00C70D7E" w:rsidRDefault="00C70D7E" w:rsidP="00F40C62">
      <w:pPr>
        <w:numPr>
          <w:ilvl w:val="1"/>
          <w:numId w:val="1"/>
        </w:numPr>
        <w:suppressAutoHyphens/>
      </w:pPr>
      <w:r>
        <w:t>Unemployment</w:t>
      </w:r>
    </w:p>
    <w:p w14:paraId="04BB52DF" w14:textId="77777777" w:rsidR="005F4E12" w:rsidRDefault="005F4E12" w:rsidP="00F40C62">
      <w:pPr>
        <w:numPr>
          <w:ilvl w:val="1"/>
          <w:numId w:val="1"/>
        </w:numPr>
        <w:suppressAutoHyphens/>
      </w:pPr>
      <w:r>
        <w:t>Inflation</w:t>
      </w:r>
    </w:p>
    <w:p w14:paraId="2166F7DA" w14:textId="77777777" w:rsidR="005F4E12" w:rsidRDefault="005F4E12" w:rsidP="00F40C62">
      <w:pPr>
        <w:numPr>
          <w:ilvl w:val="1"/>
          <w:numId w:val="1"/>
        </w:numPr>
        <w:suppressAutoHyphens/>
      </w:pPr>
      <w:r>
        <w:t>Interest Rates</w:t>
      </w:r>
    </w:p>
    <w:p w14:paraId="063F1A93" w14:textId="77777777" w:rsidR="005F4E12" w:rsidRDefault="005F4E12" w:rsidP="00F40C62">
      <w:pPr>
        <w:numPr>
          <w:ilvl w:val="1"/>
          <w:numId w:val="1"/>
        </w:numPr>
        <w:suppressAutoHyphens/>
      </w:pPr>
      <w:r>
        <w:t xml:space="preserve">Trade and the </w:t>
      </w:r>
      <w:r w:rsidR="004F4B61">
        <w:t>Current Account Surplus</w:t>
      </w:r>
    </w:p>
    <w:p w14:paraId="3DEB2B9B" w14:textId="77777777" w:rsidR="003A36AA" w:rsidRDefault="006552EA" w:rsidP="00F40C62">
      <w:pPr>
        <w:numPr>
          <w:ilvl w:val="1"/>
          <w:numId w:val="22"/>
        </w:numPr>
        <w:suppressAutoHyphens/>
      </w:pPr>
      <w:r>
        <w:t>Business Cycles</w:t>
      </w:r>
    </w:p>
    <w:p w14:paraId="01F4A79D" w14:textId="77777777" w:rsidR="005F4E12" w:rsidRDefault="005F4E12" w:rsidP="00677EDB"/>
    <w:p w14:paraId="21CEDE65" w14:textId="77777777" w:rsidR="00287DB4" w:rsidRPr="00287DB4" w:rsidRDefault="00287DB4" w:rsidP="00677EDB"/>
    <w:p w14:paraId="1836908E" w14:textId="77777777" w:rsidR="005F4E12" w:rsidRPr="005624DF" w:rsidRDefault="005624DF" w:rsidP="00F40C62">
      <w:pPr>
        <w:suppressAutoHyphens/>
        <w:rPr>
          <w:rFonts w:ascii="Helvetica" w:hAnsi="Helvetica"/>
          <w:b/>
          <w:sz w:val="28"/>
          <w:szCs w:val="28"/>
        </w:rPr>
      </w:pPr>
      <w:r w:rsidRPr="005624DF">
        <w:rPr>
          <w:rFonts w:ascii="Helvetica" w:hAnsi="Helvetica"/>
          <w:b/>
          <w:sz w:val="28"/>
          <w:szCs w:val="28"/>
        </w:rPr>
        <w:t xml:space="preserve">TEXTBOOK </w:t>
      </w:r>
      <w:r w:rsidR="00D31DFB">
        <w:rPr>
          <w:rFonts w:ascii="Helvetica" w:hAnsi="Helvetica"/>
          <w:b/>
          <w:sz w:val="28"/>
          <w:szCs w:val="28"/>
        </w:rPr>
        <w:t>PROBLEM</w:t>
      </w:r>
      <w:r w:rsidRPr="005624DF">
        <w:rPr>
          <w:rFonts w:ascii="Helvetica" w:hAnsi="Helvetica"/>
          <w:b/>
          <w:sz w:val="28"/>
          <w:szCs w:val="28"/>
        </w:rPr>
        <w:t xml:space="preserve"> SOLUTIONS</w:t>
      </w:r>
    </w:p>
    <w:p w14:paraId="00544320" w14:textId="77777777" w:rsidR="00243F44" w:rsidRDefault="00243F44" w:rsidP="00243F44"/>
    <w:p w14:paraId="3B9FC432" w14:textId="77777777" w:rsidR="005F4E12" w:rsidRDefault="005F4E12" w:rsidP="00F40C62">
      <w:pPr>
        <w:tabs>
          <w:tab w:val="left" w:pos="360"/>
        </w:tabs>
        <w:suppressAutoHyphens/>
      </w:pPr>
      <w:r>
        <w:t>1.</w:t>
      </w:r>
      <w:r>
        <w:tab/>
        <w:t>Calculating Growth Rates</w:t>
      </w:r>
      <w:r w:rsidR="007F4D91">
        <w:t xml:space="preserve"> </w:t>
      </w:r>
      <w:r>
        <w:t>Data:</w:t>
      </w:r>
    </w:p>
    <w:p w14:paraId="7B367406" w14:textId="77777777" w:rsidR="005F4E12" w:rsidRDefault="005F4E12" w:rsidP="00677EDB"/>
    <w:p w14:paraId="730E0BCE" w14:textId="68E4BB8B" w:rsidR="00DC7877" w:rsidRDefault="005F4E12" w:rsidP="00F40C62">
      <w:pPr>
        <w:numPr>
          <w:ilvl w:val="1"/>
          <w:numId w:val="17"/>
        </w:numPr>
        <w:tabs>
          <w:tab w:val="clear" w:pos="1440"/>
          <w:tab w:val="num" w:pos="720"/>
        </w:tabs>
        <w:suppressAutoHyphens/>
        <w:ind w:left="720"/>
      </w:pPr>
      <w:r>
        <w:t>Actual Pe</w:t>
      </w:r>
      <w:r w:rsidR="00DC7877">
        <w:t xml:space="preserve">rcentage Growth Rates, </w:t>
      </w:r>
      <w:r w:rsidR="00426067">
        <w:t>2015</w:t>
      </w:r>
      <w:r w:rsidR="0007639C">
        <w:t>–</w:t>
      </w:r>
      <w:r w:rsidR="003A5667">
        <w:t>2017</w:t>
      </w:r>
    </w:p>
    <w:p w14:paraId="29FBAF78" w14:textId="138C3BB0" w:rsidR="0007639C" w:rsidRDefault="0007639C" w:rsidP="0007639C">
      <w:pPr>
        <w:suppressAutoHyphens/>
      </w:pPr>
    </w:p>
    <w:tbl>
      <w:tblPr>
        <w:tblStyle w:val="TableGrid"/>
        <w:tblW w:w="0" w:type="auto"/>
        <w:tblInd w:w="1555" w:type="dxa"/>
        <w:tblLook w:val="04A0" w:firstRow="1" w:lastRow="0" w:firstColumn="1" w:lastColumn="0" w:noHBand="0" w:noVBand="1"/>
      </w:tblPr>
      <w:tblGrid>
        <w:gridCol w:w="1842"/>
        <w:gridCol w:w="1843"/>
      </w:tblGrid>
      <w:tr w:rsidR="0007639C" w:rsidRPr="0007639C" w14:paraId="61696A08" w14:textId="77777777" w:rsidTr="005B18B5">
        <w:tc>
          <w:tcPr>
            <w:tcW w:w="1842" w:type="dxa"/>
          </w:tcPr>
          <w:p w14:paraId="6C22653D" w14:textId="77777777" w:rsidR="0007639C" w:rsidRPr="0007639C" w:rsidRDefault="0007639C" w:rsidP="005B18B5">
            <w:pPr>
              <w:pStyle w:val="BodyTextIndent"/>
              <w:suppressAutoHyphens/>
              <w:ind w:left="0"/>
            </w:pPr>
            <w:r w:rsidRPr="0007639C">
              <w:t>2015</w:t>
            </w:r>
          </w:p>
        </w:tc>
        <w:tc>
          <w:tcPr>
            <w:tcW w:w="1843" w:type="dxa"/>
            <w:vAlign w:val="bottom"/>
          </w:tcPr>
          <w:p w14:paraId="7E92D103" w14:textId="417321B1" w:rsidR="0007639C" w:rsidRPr="0007639C" w:rsidRDefault="0007639C" w:rsidP="005B18B5">
            <w:pPr>
              <w:pStyle w:val="BodyTextIndent"/>
              <w:suppressAutoHyphens/>
              <w:ind w:left="0"/>
            </w:pPr>
            <w:r>
              <w:rPr>
                <w:color w:val="000000"/>
                <w:sz w:val="22"/>
                <w:szCs w:val="22"/>
              </w:rPr>
              <w:t>–</w:t>
            </w:r>
            <w:r w:rsidRPr="0007639C">
              <w:rPr>
                <w:color w:val="000000"/>
                <w:sz w:val="22"/>
                <w:szCs w:val="22"/>
              </w:rPr>
              <w:t>0.161152891</w:t>
            </w:r>
          </w:p>
        </w:tc>
      </w:tr>
      <w:tr w:rsidR="0007639C" w:rsidRPr="0007639C" w14:paraId="0D4ED952" w14:textId="77777777" w:rsidTr="005B18B5">
        <w:tc>
          <w:tcPr>
            <w:tcW w:w="1842" w:type="dxa"/>
          </w:tcPr>
          <w:p w14:paraId="24159E2F" w14:textId="77777777" w:rsidR="0007639C" w:rsidRPr="0007639C" w:rsidRDefault="0007639C" w:rsidP="005B18B5">
            <w:pPr>
              <w:pStyle w:val="BodyTextIndent"/>
              <w:suppressAutoHyphens/>
              <w:ind w:left="0"/>
            </w:pPr>
            <w:r w:rsidRPr="0007639C">
              <w:t>2016</w:t>
            </w:r>
          </w:p>
        </w:tc>
        <w:tc>
          <w:tcPr>
            <w:tcW w:w="1843" w:type="dxa"/>
            <w:vAlign w:val="bottom"/>
          </w:tcPr>
          <w:p w14:paraId="6C622C6A" w14:textId="3A290B5A" w:rsidR="0007639C" w:rsidRPr="0007639C" w:rsidRDefault="0007639C" w:rsidP="005B18B5">
            <w:pPr>
              <w:pStyle w:val="BodyTextIndent"/>
              <w:suppressAutoHyphens/>
              <w:ind w:left="0"/>
            </w:pPr>
            <w:r>
              <w:rPr>
                <w:color w:val="000000"/>
                <w:sz w:val="22"/>
                <w:szCs w:val="22"/>
              </w:rPr>
              <w:t>–</w:t>
            </w:r>
            <w:r w:rsidRPr="0007639C">
              <w:rPr>
                <w:color w:val="000000"/>
                <w:sz w:val="22"/>
                <w:szCs w:val="22"/>
              </w:rPr>
              <w:t>0.103898032</w:t>
            </w:r>
          </w:p>
        </w:tc>
      </w:tr>
      <w:tr w:rsidR="0007639C" w:rsidRPr="0007639C" w14:paraId="4F87A072" w14:textId="77777777" w:rsidTr="005B18B5">
        <w:tc>
          <w:tcPr>
            <w:tcW w:w="1842" w:type="dxa"/>
          </w:tcPr>
          <w:p w14:paraId="24F3C72D" w14:textId="77777777" w:rsidR="0007639C" w:rsidRPr="0007639C" w:rsidRDefault="0007639C" w:rsidP="005B18B5">
            <w:pPr>
              <w:pStyle w:val="BodyTextIndent"/>
              <w:suppressAutoHyphens/>
              <w:ind w:left="0"/>
            </w:pPr>
            <w:r w:rsidRPr="0007639C">
              <w:t>2017</w:t>
            </w:r>
          </w:p>
        </w:tc>
        <w:tc>
          <w:tcPr>
            <w:tcW w:w="1843" w:type="dxa"/>
            <w:vAlign w:val="bottom"/>
          </w:tcPr>
          <w:p w14:paraId="372CDF84" w14:textId="5E46B40C" w:rsidR="0007639C" w:rsidRPr="0007639C" w:rsidRDefault="0007639C" w:rsidP="005B18B5">
            <w:pPr>
              <w:pStyle w:val="BodyTextIndent"/>
              <w:suppressAutoHyphens/>
              <w:ind w:left="0"/>
            </w:pPr>
            <w:r w:rsidRPr="0007639C">
              <w:rPr>
                <w:color w:val="000000"/>
                <w:sz w:val="22"/>
                <w:szCs w:val="22"/>
              </w:rPr>
              <w:t>1.742102037</w:t>
            </w:r>
          </w:p>
        </w:tc>
      </w:tr>
    </w:tbl>
    <w:p w14:paraId="17BC5297" w14:textId="77777777" w:rsidR="007617F9" w:rsidRDefault="007617F9" w:rsidP="00677EDB"/>
    <w:p w14:paraId="2EB92813" w14:textId="34DB4952" w:rsidR="00DC7877" w:rsidRDefault="005F4E12" w:rsidP="00F40C62">
      <w:pPr>
        <w:numPr>
          <w:ilvl w:val="1"/>
          <w:numId w:val="17"/>
        </w:numPr>
        <w:tabs>
          <w:tab w:val="clear" w:pos="1440"/>
          <w:tab w:val="num" w:pos="720"/>
        </w:tabs>
        <w:suppressAutoHyphens/>
        <w:ind w:hanging="1080"/>
      </w:pPr>
      <w:r>
        <w:t>Approximate Pe</w:t>
      </w:r>
      <w:r w:rsidR="00DC7877">
        <w:t xml:space="preserve">rcentage Growth Rates, </w:t>
      </w:r>
      <w:r w:rsidR="00426067">
        <w:t>2015</w:t>
      </w:r>
      <w:r w:rsidR="00B050FD">
        <w:t>–</w:t>
      </w:r>
      <w:r w:rsidR="003A5667">
        <w:t>2017</w:t>
      </w:r>
    </w:p>
    <w:p w14:paraId="33F91ABC" w14:textId="01B19548" w:rsidR="0007639C" w:rsidRDefault="0007639C" w:rsidP="0007639C">
      <w:pPr>
        <w:suppressAutoHyphens/>
      </w:pPr>
    </w:p>
    <w:tbl>
      <w:tblPr>
        <w:tblStyle w:val="TableGrid"/>
        <w:tblW w:w="0" w:type="auto"/>
        <w:tblInd w:w="1555" w:type="dxa"/>
        <w:tblLook w:val="04A0" w:firstRow="1" w:lastRow="0" w:firstColumn="1" w:lastColumn="0" w:noHBand="0" w:noVBand="1"/>
      </w:tblPr>
      <w:tblGrid>
        <w:gridCol w:w="1842"/>
        <w:gridCol w:w="1843"/>
      </w:tblGrid>
      <w:tr w:rsidR="0007639C" w:rsidRPr="0007639C" w14:paraId="5B919BF8" w14:textId="77777777" w:rsidTr="0007639C">
        <w:tc>
          <w:tcPr>
            <w:tcW w:w="1842" w:type="dxa"/>
          </w:tcPr>
          <w:p w14:paraId="62FCCD8E" w14:textId="4065864D" w:rsidR="0007639C" w:rsidRPr="0007639C" w:rsidRDefault="0007639C" w:rsidP="0007639C">
            <w:pPr>
              <w:pStyle w:val="BodyTextIndent"/>
              <w:suppressAutoHyphens/>
              <w:ind w:left="0"/>
            </w:pPr>
            <w:r w:rsidRPr="0007639C">
              <w:t>2015</w:t>
            </w:r>
          </w:p>
        </w:tc>
        <w:tc>
          <w:tcPr>
            <w:tcW w:w="1843" w:type="dxa"/>
            <w:vAlign w:val="bottom"/>
          </w:tcPr>
          <w:p w14:paraId="1766BDF2" w14:textId="15F4FF8F" w:rsidR="0007639C" w:rsidRPr="0007639C" w:rsidRDefault="0007639C" w:rsidP="0007639C">
            <w:pPr>
              <w:pStyle w:val="BodyTextIndent"/>
              <w:suppressAutoHyphens/>
              <w:ind w:left="0"/>
            </w:pPr>
            <w:r w:rsidRPr="0007639C">
              <w:rPr>
                <w:color w:val="000000"/>
                <w:sz w:val="22"/>
                <w:szCs w:val="22"/>
              </w:rPr>
              <w:t>-0.161282882</w:t>
            </w:r>
          </w:p>
        </w:tc>
      </w:tr>
      <w:tr w:rsidR="0007639C" w:rsidRPr="0007639C" w14:paraId="052901BE" w14:textId="77777777" w:rsidTr="0007639C">
        <w:tc>
          <w:tcPr>
            <w:tcW w:w="1842" w:type="dxa"/>
          </w:tcPr>
          <w:p w14:paraId="7C1955A0" w14:textId="113B2384" w:rsidR="0007639C" w:rsidRPr="0007639C" w:rsidRDefault="0007639C" w:rsidP="0007639C">
            <w:pPr>
              <w:pStyle w:val="BodyTextIndent"/>
              <w:suppressAutoHyphens/>
              <w:ind w:left="0"/>
            </w:pPr>
            <w:r w:rsidRPr="0007639C">
              <w:t>2016</w:t>
            </w:r>
          </w:p>
        </w:tc>
        <w:tc>
          <w:tcPr>
            <w:tcW w:w="1843" w:type="dxa"/>
            <w:vAlign w:val="bottom"/>
          </w:tcPr>
          <w:p w14:paraId="72F6E7D6" w14:textId="72FCC10D" w:rsidR="0007639C" w:rsidRPr="0007639C" w:rsidRDefault="0007639C" w:rsidP="0007639C">
            <w:pPr>
              <w:pStyle w:val="BodyTextIndent"/>
              <w:suppressAutoHyphens/>
              <w:ind w:left="0"/>
            </w:pPr>
            <w:r w:rsidRPr="0007639C">
              <w:rPr>
                <w:color w:val="000000"/>
                <w:sz w:val="22"/>
                <w:szCs w:val="22"/>
              </w:rPr>
              <w:t>-0.103952043</w:t>
            </w:r>
          </w:p>
        </w:tc>
      </w:tr>
      <w:tr w:rsidR="0007639C" w:rsidRPr="0007639C" w14:paraId="0A67B333" w14:textId="77777777" w:rsidTr="0007639C">
        <w:tc>
          <w:tcPr>
            <w:tcW w:w="1842" w:type="dxa"/>
          </w:tcPr>
          <w:p w14:paraId="11349963" w14:textId="691BAE53" w:rsidR="0007639C" w:rsidRPr="0007639C" w:rsidRDefault="0007639C" w:rsidP="0007639C">
            <w:pPr>
              <w:pStyle w:val="BodyTextIndent"/>
              <w:suppressAutoHyphens/>
              <w:ind w:left="0"/>
            </w:pPr>
            <w:r w:rsidRPr="0007639C">
              <w:t>2017</w:t>
            </w:r>
          </w:p>
        </w:tc>
        <w:tc>
          <w:tcPr>
            <w:tcW w:w="1843" w:type="dxa"/>
            <w:vAlign w:val="bottom"/>
          </w:tcPr>
          <w:p w14:paraId="29ED29C2" w14:textId="65870116" w:rsidR="0007639C" w:rsidRPr="0007639C" w:rsidRDefault="0007639C" w:rsidP="0007639C">
            <w:pPr>
              <w:pStyle w:val="BodyTextIndent"/>
              <w:suppressAutoHyphens/>
              <w:ind w:left="0"/>
            </w:pPr>
            <w:r w:rsidRPr="0007639C">
              <w:rPr>
                <w:color w:val="000000"/>
                <w:sz w:val="22"/>
                <w:szCs w:val="22"/>
              </w:rPr>
              <w:t>1.727101407</w:t>
            </w:r>
          </w:p>
        </w:tc>
      </w:tr>
    </w:tbl>
    <w:p w14:paraId="26693D12" w14:textId="77777777" w:rsidR="005F4E12" w:rsidRDefault="005F4E12" w:rsidP="007C7279"/>
    <w:p w14:paraId="2E58AC63" w14:textId="77777777" w:rsidR="005F4E12" w:rsidRDefault="005F4E12" w:rsidP="00F40C62">
      <w:pPr>
        <w:pStyle w:val="BodyTextIndent"/>
        <w:suppressAutoHyphens/>
      </w:pPr>
      <w:r>
        <w:t>The approximation is close</w:t>
      </w:r>
      <w:r w:rsidR="00CC1F78">
        <w:t xml:space="preserve">. </w:t>
      </w:r>
      <w:r>
        <w:t xml:space="preserve">The approximation works well for small </w:t>
      </w:r>
      <w:r w:rsidR="0099455A">
        <w:t>growth rates.</w:t>
      </w:r>
    </w:p>
    <w:p w14:paraId="1ADA2B6F" w14:textId="77777777" w:rsidR="005F4E12" w:rsidRDefault="005F4E12" w:rsidP="007C7279"/>
    <w:p w14:paraId="3EC0F028" w14:textId="7ADDF0D9" w:rsidR="00C53FF5" w:rsidRDefault="007C7279" w:rsidP="00F40C62">
      <w:pPr>
        <w:pStyle w:val="BodyTextIndent"/>
        <w:suppressAutoHyphens/>
        <w:ind w:left="0"/>
      </w:pPr>
      <w:bookmarkStart w:id="0" w:name="_GoBack"/>
      <w:bookmarkEnd w:id="0"/>
      <w:r>
        <w:br w:type="page"/>
      </w:r>
      <w:r w:rsidR="005567DF">
        <w:lastRenderedPageBreak/>
        <w:tab/>
        <w:t>c</w:t>
      </w:r>
      <w:r w:rsidR="005F4E12">
        <w:t>)</w:t>
      </w:r>
      <w:r w:rsidR="005F4E12">
        <w:tab/>
        <w:t>Actual Percentag</w:t>
      </w:r>
      <w:r w:rsidR="00C53FF5">
        <w:t xml:space="preserve">e </w:t>
      </w:r>
      <w:r w:rsidR="000D6889">
        <w:t>Growth Rates for Decades, 1950–20</w:t>
      </w:r>
      <w:r w:rsidR="0099455A">
        <w:t>10</w:t>
      </w:r>
      <w:r w:rsidR="000D6889">
        <w:t xml:space="preserve"> </w:t>
      </w:r>
    </w:p>
    <w:p w14:paraId="2F6DA334" w14:textId="655FBFD7" w:rsidR="0007639C" w:rsidRDefault="0007639C" w:rsidP="00F40C62">
      <w:pPr>
        <w:pStyle w:val="BodyTextIndent"/>
        <w:suppressAutoHyphens/>
        <w:ind w:left="0"/>
      </w:pPr>
    </w:p>
    <w:tbl>
      <w:tblPr>
        <w:tblStyle w:val="TableGrid"/>
        <w:tblW w:w="0" w:type="auto"/>
        <w:tblInd w:w="1555" w:type="dxa"/>
        <w:tblLook w:val="04A0" w:firstRow="1" w:lastRow="0" w:firstColumn="1" w:lastColumn="0" w:noHBand="0" w:noVBand="1"/>
      </w:tblPr>
      <w:tblGrid>
        <w:gridCol w:w="1842"/>
        <w:gridCol w:w="1843"/>
        <w:tblGridChange w:id="1">
          <w:tblGrid>
            <w:gridCol w:w="1842"/>
            <w:gridCol w:w="1843"/>
          </w:tblGrid>
        </w:tblGridChange>
      </w:tblGrid>
      <w:tr w:rsidR="0007639C" w14:paraId="18E1426E" w14:textId="77777777" w:rsidTr="00B2605D">
        <w:tc>
          <w:tcPr>
            <w:tcW w:w="1842" w:type="dxa"/>
          </w:tcPr>
          <w:p w14:paraId="07470976" w14:textId="19D71A83" w:rsidR="0007639C" w:rsidRDefault="0007639C" w:rsidP="0007639C">
            <w:pPr>
              <w:pStyle w:val="BodyTextIndent"/>
              <w:suppressAutoHyphens/>
              <w:ind w:left="0"/>
            </w:pPr>
            <w:r w:rsidRPr="0007639C">
              <w:t>1960</w:t>
            </w:r>
          </w:p>
        </w:tc>
        <w:tc>
          <w:tcPr>
            <w:tcW w:w="1843" w:type="dxa"/>
            <w:vAlign w:val="bottom"/>
          </w:tcPr>
          <w:p w14:paraId="2C641CD1" w14:textId="70655375" w:rsidR="0007639C" w:rsidRDefault="0007639C" w:rsidP="0007639C">
            <w:pPr>
              <w:pStyle w:val="BodyTextIndent"/>
              <w:suppressAutoHyphens/>
              <w:ind w:left="0"/>
            </w:pPr>
            <w:r w:rsidRPr="0007639C">
              <w:rPr>
                <w:color w:val="000000"/>
                <w:sz w:val="22"/>
                <w:szCs w:val="22"/>
              </w:rPr>
              <w:t>21.00068711</w:t>
            </w:r>
          </w:p>
        </w:tc>
      </w:tr>
      <w:tr w:rsidR="0007639C" w14:paraId="04984821" w14:textId="77777777" w:rsidTr="00B2605D">
        <w:tc>
          <w:tcPr>
            <w:tcW w:w="1842" w:type="dxa"/>
          </w:tcPr>
          <w:p w14:paraId="58B89A04" w14:textId="6C20C51D" w:rsidR="0007639C" w:rsidRDefault="0007639C" w:rsidP="0007639C">
            <w:pPr>
              <w:pStyle w:val="BodyTextIndent"/>
              <w:suppressAutoHyphens/>
              <w:ind w:left="0"/>
            </w:pPr>
            <w:r w:rsidRPr="0007639C">
              <w:t>1970</w:t>
            </w:r>
          </w:p>
        </w:tc>
        <w:tc>
          <w:tcPr>
            <w:tcW w:w="1843" w:type="dxa"/>
            <w:vAlign w:val="bottom"/>
          </w:tcPr>
          <w:p w14:paraId="2C76D310" w14:textId="7A3FB433" w:rsidR="0007639C" w:rsidRDefault="0007639C" w:rsidP="0007639C">
            <w:pPr>
              <w:pStyle w:val="BodyTextIndent"/>
              <w:suppressAutoHyphens/>
              <w:ind w:left="0"/>
            </w:pPr>
            <w:r w:rsidRPr="0007639C">
              <w:rPr>
                <w:color w:val="000000"/>
                <w:sz w:val="22"/>
                <w:szCs w:val="22"/>
              </w:rPr>
              <w:t>37.112178</w:t>
            </w:r>
          </w:p>
        </w:tc>
      </w:tr>
      <w:tr w:rsidR="0007639C" w14:paraId="06BC28D5" w14:textId="77777777" w:rsidTr="00B2605D">
        <w:tc>
          <w:tcPr>
            <w:tcW w:w="1842" w:type="dxa"/>
          </w:tcPr>
          <w:p w14:paraId="49AC5D84" w14:textId="4036EC36" w:rsidR="0007639C" w:rsidRDefault="0007639C" w:rsidP="0007639C">
            <w:pPr>
              <w:pStyle w:val="BodyTextIndent"/>
              <w:suppressAutoHyphens/>
              <w:ind w:left="0"/>
            </w:pPr>
            <w:r w:rsidRPr="0007639C">
              <w:t>1980</w:t>
            </w:r>
          </w:p>
        </w:tc>
        <w:tc>
          <w:tcPr>
            <w:tcW w:w="1843" w:type="dxa"/>
            <w:vAlign w:val="bottom"/>
          </w:tcPr>
          <w:p w14:paraId="407324FE" w14:textId="78F0FCBD" w:rsidR="0007639C" w:rsidRDefault="0007639C" w:rsidP="0007639C">
            <w:pPr>
              <w:pStyle w:val="BodyTextIndent"/>
              <w:suppressAutoHyphens/>
              <w:ind w:left="0"/>
            </w:pPr>
            <w:r w:rsidRPr="0007639C">
              <w:rPr>
                <w:color w:val="000000"/>
                <w:sz w:val="22"/>
                <w:szCs w:val="22"/>
              </w:rPr>
              <w:t>29.17545181</w:t>
            </w:r>
          </w:p>
        </w:tc>
      </w:tr>
      <w:tr w:rsidR="0007639C" w14:paraId="57680159" w14:textId="77777777" w:rsidTr="00B2605D">
        <w:tc>
          <w:tcPr>
            <w:tcW w:w="1842" w:type="dxa"/>
          </w:tcPr>
          <w:p w14:paraId="4C4B2400" w14:textId="1610A511" w:rsidR="0007639C" w:rsidRDefault="0007639C" w:rsidP="0007639C">
            <w:pPr>
              <w:pStyle w:val="BodyTextIndent"/>
              <w:suppressAutoHyphens/>
              <w:ind w:left="0"/>
            </w:pPr>
            <w:r w:rsidRPr="0007639C">
              <w:t>1990</w:t>
            </w:r>
          </w:p>
        </w:tc>
        <w:tc>
          <w:tcPr>
            <w:tcW w:w="1843" w:type="dxa"/>
            <w:vAlign w:val="bottom"/>
          </w:tcPr>
          <w:p w14:paraId="0019F4CF" w14:textId="501CD45F" w:rsidR="0007639C" w:rsidRDefault="0007639C" w:rsidP="0007639C">
            <w:pPr>
              <w:pStyle w:val="BodyTextIndent"/>
              <w:suppressAutoHyphens/>
              <w:ind w:left="0"/>
            </w:pPr>
            <w:r w:rsidRPr="0007639C">
              <w:rPr>
                <w:color w:val="000000"/>
                <w:sz w:val="22"/>
                <w:szCs w:val="22"/>
              </w:rPr>
              <w:t>14.90279518</w:t>
            </w:r>
          </w:p>
        </w:tc>
      </w:tr>
      <w:tr w:rsidR="0007639C" w14:paraId="0654A50A" w14:textId="77777777" w:rsidTr="00B2605D">
        <w:tc>
          <w:tcPr>
            <w:tcW w:w="1842" w:type="dxa"/>
          </w:tcPr>
          <w:p w14:paraId="14E3144C" w14:textId="179941AA" w:rsidR="0007639C" w:rsidRDefault="0007639C" w:rsidP="0007639C">
            <w:pPr>
              <w:pStyle w:val="BodyTextIndent"/>
              <w:suppressAutoHyphens/>
              <w:ind w:left="0"/>
            </w:pPr>
            <w:r w:rsidRPr="0007639C">
              <w:t>2000</w:t>
            </w:r>
          </w:p>
        </w:tc>
        <w:tc>
          <w:tcPr>
            <w:tcW w:w="1843" w:type="dxa"/>
            <w:vAlign w:val="bottom"/>
          </w:tcPr>
          <w:p w14:paraId="431930C9" w14:textId="7D0C2822" w:rsidR="0007639C" w:rsidRDefault="0007639C" w:rsidP="0007639C">
            <w:pPr>
              <w:pStyle w:val="BodyTextIndent"/>
              <w:suppressAutoHyphens/>
              <w:ind w:left="0"/>
            </w:pPr>
            <w:r w:rsidRPr="0007639C">
              <w:rPr>
                <w:color w:val="000000"/>
                <w:sz w:val="22"/>
                <w:szCs w:val="22"/>
              </w:rPr>
              <w:t>19.48404444</w:t>
            </w:r>
          </w:p>
        </w:tc>
      </w:tr>
      <w:tr w:rsidR="0007639C" w14:paraId="2217930C" w14:textId="77777777" w:rsidTr="00B2605D">
        <w:tc>
          <w:tcPr>
            <w:tcW w:w="1842" w:type="dxa"/>
          </w:tcPr>
          <w:p w14:paraId="7E0FAF3F" w14:textId="6D78CAFB" w:rsidR="0007639C" w:rsidRDefault="0007639C" w:rsidP="0007639C">
            <w:pPr>
              <w:pStyle w:val="BodyTextIndent"/>
              <w:suppressAutoHyphens/>
              <w:ind w:left="0"/>
            </w:pPr>
            <w:r w:rsidRPr="0007639C">
              <w:t>2010</w:t>
            </w:r>
          </w:p>
        </w:tc>
        <w:tc>
          <w:tcPr>
            <w:tcW w:w="1843" w:type="dxa"/>
            <w:vAlign w:val="bottom"/>
          </w:tcPr>
          <w:p w14:paraId="71A293A9" w14:textId="566CA892" w:rsidR="0007639C" w:rsidRDefault="0007639C" w:rsidP="0007639C">
            <w:pPr>
              <w:pStyle w:val="BodyTextIndent"/>
              <w:suppressAutoHyphens/>
              <w:ind w:left="0"/>
            </w:pPr>
            <w:r w:rsidRPr="0007639C">
              <w:rPr>
                <w:color w:val="000000"/>
                <w:sz w:val="22"/>
                <w:szCs w:val="22"/>
              </w:rPr>
              <w:t>8.432583912</w:t>
            </w:r>
          </w:p>
        </w:tc>
      </w:tr>
    </w:tbl>
    <w:p w14:paraId="1938D3A0" w14:textId="77777777" w:rsidR="00897F06" w:rsidRDefault="00897F06" w:rsidP="0007639C"/>
    <w:p w14:paraId="341B55CD" w14:textId="5D735D18" w:rsidR="005F4E12" w:rsidRDefault="005F4E12" w:rsidP="007C7279">
      <w:pPr>
        <w:pStyle w:val="BodyTextIndent"/>
        <w:suppressAutoHyphens/>
        <w:ind w:left="1440" w:hanging="720"/>
      </w:pPr>
      <w:r>
        <w:t>Approximate Percentage Growth Rates</w:t>
      </w:r>
      <w:r w:rsidR="005D7E50">
        <w:t>, 1950–20</w:t>
      </w:r>
      <w:r w:rsidR="00897F06">
        <w:t>10</w:t>
      </w:r>
    </w:p>
    <w:p w14:paraId="2DC753E9" w14:textId="787A111A" w:rsidR="0007639C" w:rsidRDefault="0007639C" w:rsidP="007C7279">
      <w:pPr>
        <w:pStyle w:val="BodyTextIndent"/>
        <w:suppressAutoHyphens/>
        <w:ind w:left="1440" w:hanging="720"/>
      </w:pPr>
    </w:p>
    <w:tbl>
      <w:tblPr>
        <w:tblW w:w="3377" w:type="dxa"/>
        <w:tblInd w:w="1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8"/>
        <w:gridCol w:w="1689"/>
      </w:tblGrid>
      <w:tr w:rsidR="0007639C" w:rsidRPr="0007639C" w14:paraId="31F84F38" w14:textId="77777777" w:rsidTr="0007639C">
        <w:tc>
          <w:tcPr>
            <w:tcW w:w="1688" w:type="dxa"/>
            <w:shd w:val="clear" w:color="auto" w:fill="auto"/>
          </w:tcPr>
          <w:p w14:paraId="2446947F" w14:textId="77777777" w:rsidR="0007639C" w:rsidRPr="0007639C" w:rsidRDefault="0007639C" w:rsidP="005B18B5">
            <w:r w:rsidRPr="0007639C">
              <w:t>1960</w:t>
            </w:r>
          </w:p>
        </w:tc>
        <w:tc>
          <w:tcPr>
            <w:tcW w:w="1689" w:type="dxa"/>
            <w:shd w:val="clear" w:color="auto" w:fill="auto"/>
            <w:vAlign w:val="bottom"/>
          </w:tcPr>
          <w:p w14:paraId="42BB9963" w14:textId="77777777" w:rsidR="0007639C" w:rsidRPr="0007639C" w:rsidRDefault="0007639C" w:rsidP="005B18B5">
            <w:r w:rsidRPr="0007639C">
              <w:rPr>
                <w:color w:val="000000"/>
                <w:sz w:val="22"/>
                <w:szCs w:val="22"/>
              </w:rPr>
              <w:t>19.06260382</w:t>
            </w:r>
          </w:p>
        </w:tc>
      </w:tr>
      <w:tr w:rsidR="0007639C" w:rsidRPr="0007639C" w14:paraId="6E010FCE" w14:textId="77777777" w:rsidTr="0007639C">
        <w:tc>
          <w:tcPr>
            <w:tcW w:w="1688" w:type="dxa"/>
            <w:shd w:val="clear" w:color="auto" w:fill="auto"/>
          </w:tcPr>
          <w:p w14:paraId="1E03F289" w14:textId="77777777" w:rsidR="0007639C" w:rsidRPr="0007639C" w:rsidRDefault="0007639C" w:rsidP="005B18B5">
            <w:r w:rsidRPr="0007639C">
              <w:t>1970</w:t>
            </w:r>
          </w:p>
        </w:tc>
        <w:tc>
          <w:tcPr>
            <w:tcW w:w="1689" w:type="dxa"/>
            <w:shd w:val="clear" w:color="auto" w:fill="auto"/>
            <w:vAlign w:val="bottom"/>
          </w:tcPr>
          <w:p w14:paraId="187C276C" w14:textId="77777777" w:rsidR="0007639C" w:rsidRPr="0007639C" w:rsidRDefault="0007639C" w:rsidP="005B18B5">
            <w:r w:rsidRPr="0007639C">
              <w:rPr>
                <w:color w:val="000000"/>
                <w:sz w:val="22"/>
                <w:szCs w:val="22"/>
              </w:rPr>
              <w:t>31.56292223</w:t>
            </w:r>
          </w:p>
        </w:tc>
      </w:tr>
      <w:tr w:rsidR="0007639C" w:rsidRPr="0007639C" w14:paraId="00493594" w14:textId="77777777" w:rsidTr="0007639C">
        <w:tc>
          <w:tcPr>
            <w:tcW w:w="1688" w:type="dxa"/>
            <w:shd w:val="clear" w:color="auto" w:fill="auto"/>
          </w:tcPr>
          <w:p w14:paraId="39C84D2B" w14:textId="77777777" w:rsidR="0007639C" w:rsidRPr="0007639C" w:rsidRDefault="0007639C" w:rsidP="005B18B5">
            <w:r w:rsidRPr="0007639C">
              <w:t>1980</w:t>
            </w:r>
          </w:p>
        </w:tc>
        <w:tc>
          <w:tcPr>
            <w:tcW w:w="1689" w:type="dxa"/>
            <w:shd w:val="clear" w:color="auto" w:fill="auto"/>
            <w:vAlign w:val="bottom"/>
          </w:tcPr>
          <w:p w14:paraId="544543DC" w14:textId="77777777" w:rsidR="0007639C" w:rsidRPr="0007639C" w:rsidRDefault="0007639C" w:rsidP="005B18B5">
            <w:r w:rsidRPr="0007639C">
              <w:rPr>
                <w:color w:val="000000"/>
                <w:sz w:val="22"/>
                <w:szCs w:val="22"/>
              </w:rPr>
              <w:t>25.60013858</w:t>
            </w:r>
          </w:p>
        </w:tc>
      </w:tr>
      <w:tr w:rsidR="0007639C" w:rsidRPr="0007639C" w14:paraId="70260072" w14:textId="77777777" w:rsidTr="0007639C">
        <w:tc>
          <w:tcPr>
            <w:tcW w:w="1688" w:type="dxa"/>
            <w:shd w:val="clear" w:color="auto" w:fill="auto"/>
          </w:tcPr>
          <w:p w14:paraId="13991C66" w14:textId="77777777" w:rsidR="0007639C" w:rsidRPr="0007639C" w:rsidRDefault="0007639C" w:rsidP="005B18B5">
            <w:r w:rsidRPr="0007639C">
              <w:t>1990</w:t>
            </w:r>
          </w:p>
        </w:tc>
        <w:tc>
          <w:tcPr>
            <w:tcW w:w="1689" w:type="dxa"/>
            <w:shd w:val="clear" w:color="auto" w:fill="auto"/>
            <w:vAlign w:val="bottom"/>
          </w:tcPr>
          <w:p w14:paraId="73E34048" w14:textId="77777777" w:rsidR="0007639C" w:rsidRPr="0007639C" w:rsidRDefault="0007639C" w:rsidP="005B18B5">
            <w:r w:rsidRPr="0007639C">
              <w:rPr>
                <w:color w:val="000000"/>
                <w:sz w:val="22"/>
                <w:szCs w:val="22"/>
              </w:rPr>
              <w:t>13.89163257</w:t>
            </w:r>
          </w:p>
        </w:tc>
      </w:tr>
      <w:tr w:rsidR="0007639C" w:rsidRPr="0007639C" w14:paraId="603F5AFF" w14:textId="77777777" w:rsidTr="0007639C">
        <w:tc>
          <w:tcPr>
            <w:tcW w:w="1688" w:type="dxa"/>
            <w:shd w:val="clear" w:color="auto" w:fill="auto"/>
          </w:tcPr>
          <w:p w14:paraId="7CEC1636" w14:textId="77777777" w:rsidR="0007639C" w:rsidRPr="0007639C" w:rsidRDefault="0007639C" w:rsidP="005B18B5">
            <w:r w:rsidRPr="0007639C">
              <w:t>2000</w:t>
            </w:r>
          </w:p>
        </w:tc>
        <w:tc>
          <w:tcPr>
            <w:tcW w:w="1689" w:type="dxa"/>
            <w:shd w:val="clear" w:color="auto" w:fill="auto"/>
            <w:vAlign w:val="bottom"/>
          </w:tcPr>
          <w:p w14:paraId="081D1F1D" w14:textId="77777777" w:rsidR="0007639C" w:rsidRPr="0007639C" w:rsidRDefault="0007639C" w:rsidP="005B18B5">
            <w:r w:rsidRPr="0007639C">
              <w:rPr>
                <w:color w:val="000000"/>
                <w:sz w:val="22"/>
                <w:szCs w:val="22"/>
              </w:rPr>
              <w:t>17.80126572</w:t>
            </w:r>
          </w:p>
        </w:tc>
      </w:tr>
      <w:tr w:rsidR="0007639C" w:rsidRPr="0007639C" w14:paraId="004F3F2E" w14:textId="77777777" w:rsidTr="0007639C">
        <w:tc>
          <w:tcPr>
            <w:tcW w:w="1688" w:type="dxa"/>
            <w:shd w:val="clear" w:color="auto" w:fill="auto"/>
          </w:tcPr>
          <w:p w14:paraId="7992E311" w14:textId="77777777" w:rsidR="0007639C" w:rsidRPr="0007639C" w:rsidRDefault="0007639C" w:rsidP="005B18B5">
            <w:r w:rsidRPr="0007639C">
              <w:t>2010</w:t>
            </w:r>
          </w:p>
        </w:tc>
        <w:tc>
          <w:tcPr>
            <w:tcW w:w="1689" w:type="dxa"/>
            <w:shd w:val="clear" w:color="auto" w:fill="auto"/>
            <w:vAlign w:val="bottom"/>
          </w:tcPr>
          <w:p w14:paraId="131DFBBD" w14:textId="77777777" w:rsidR="0007639C" w:rsidRPr="0007639C" w:rsidRDefault="0007639C" w:rsidP="005B18B5">
            <w:r w:rsidRPr="0007639C">
              <w:rPr>
                <w:color w:val="000000"/>
                <w:sz w:val="22"/>
                <w:szCs w:val="22"/>
              </w:rPr>
              <w:t>8.095844744</w:t>
            </w:r>
          </w:p>
        </w:tc>
      </w:tr>
    </w:tbl>
    <w:p w14:paraId="6C9B54F8" w14:textId="77777777" w:rsidR="007617F9" w:rsidRDefault="007617F9" w:rsidP="007C7279"/>
    <w:p w14:paraId="1E17AED3" w14:textId="77777777" w:rsidR="002F10C6" w:rsidRDefault="005F4E12" w:rsidP="002F10C6">
      <w:pPr>
        <w:pStyle w:val="BodyTextIndent"/>
        <w:suppressAutoHyphens/>
      </w:pPr>
      <w:r>
        <w:t>The approximation errors are larger because the growth rates are larger</w:t>
      </w:r>
      <w:r w:rsidR="00CC1F78">
        <w:t xml:space="preserve">. </w:t>
      </w:r>
      <w:r>
        <w:t>Note that the approximation formula actually calculates the continuously compounded growth rate.</w:t>
      </w:r>
    </w:p>
    <w:p w14:paraId="0D9A8A87" w14:textId="77777777" w:rsidR="002F10C6" w:rsidRDefault="002F10C6" w:rsidP="002F10C6">
      <w:pPr>
        <w:pStyle w:val="BodyTextIndent"/>
        <w:suppressAutoHyphens/>
        <w:ind w:left="0"/>
      </w:pPr>
    </w:p>
    <w:p w14:paraId="7CC12785" w14:textId="5B989B97" w:rsidR="005F4E12" w:rsidRDefault="005F4E12" w:rsidP="002F10C6">
      <w:pPr>
        <w:pStyle w:val="BodyTextIndent"/>
        <w:numPr>
          <w:ilvl w:val="0"/>
          <w:numId w:val="25"/>
        </w:numPr>
        <w:suppressAutoHyphens/>
      </w:pPr>
      <w:r>
        <w:t xml:space="preserve">Growth is </w:t>
      </w:r>
      <w:r w:rsidR="00897F06">
        <w:t>highest</w:t>
      </w:r>
      <w:r>
        <w:t xml:space="preserve"> in the 19</w:t>
      </w:r>
      <w:r w:rsidR="00425BD6">
        <w:t>7</w:t>
      </w:r>
      <w:r>
        <w:t>0s</w:t>
      </w:r>
      <w:r w:rsidR="00CC1F78">
        <w:t xml:space="preserve">. </w:t>
      </w:r>
      <w:r w:rsidR="00960D61">
        <w:t xml:space="preserve">Growth is </w:t>
      </w:r>
      <w:r w:rsidR="00897F06">
        <w:t>lowest</w:t>
      </w:r>
      <w:r w:rsidR="00960D61">
        <w:t xml:space="preserve"> </w:t>
      </w:r>
      <w:r w:rsidR="00897F06">
        <w:t>for 2000</w:t>
      </w:r>
      <w:r w:rsidR="00B050FD">
        <w:t>–</w:t>
      </w:r>
      <w:r w:rsidR="00897F06">
        <w:t>2010</w:t>
      </w:r>
      <w:r>
        <w:t>.</w:t>
      </w:r>
    </w:p>
    <w:p w14:paraId="1916084A" w14:textId="77777777" w:rsidR="002F10C6" w:rsidRDefault="002F10C6" w:rsidP="002F10C6">
      <w:pPr>
        <w:pStyle w:val="BodyTextIndent"/>
        <w:suppressAutoHyphens/>
        <w:ind w:left="0"/>
      </w:pPr>
    </w:p>
    <w:p w14:paraId="7D48B2CE" w14:textId="77777777" w:rsidR="002F10C6" w:rsidRDefault="002F10C6" w:rsidP="002F10C6">
      <w:pPr>
        <w:pStyle w:val="BodyTextIndent"/>
        <w:suppressAutoHyphens/>
        <w:ind w:left="0"/>
      </w:pPr>
      <w:r>
        <w:t xml:space="preserve">2.   The variability of real GDP per capita was larger before World War II than after, even </w:t>
      </w:r>
    </w:p>
    <w:p w14:paraId="69008451" w14:textId="77777777" w:rsidR="002F10C6" w:rsidRDefault="002F10C6" w:rsidP="006B5D03">
      <w:pPr>
        <w:pStyle w:val="BodyTextIndent"/>
        <w:suppressAutoHyphens/>
        <w:ind w:left="360"/>
      </w:pPr>
      <w:r>
        <w:t>if we ignore the Great Depression and World War II. This could just be a     measurement issue, as the national income accounts data were not collected in a systematic way until the 1920s. Also, it is possible that the lower variability after World War II was due to the sound judgment of macroeconomic policymakers, who took appropriate action at the right times. Finally, it is possible that the lower variability in post-World War II times was just a happy accident.</w:t>
      </w:r>
    </w:p>
    <w:p w14:paraId="53E0FE74" w14:textId="77777777" w:rsidR="005F4E12" w:rsidRPr="007525AD" w:rsidRDefault="005F4E12" w:rsidP="007C7279"/>
    <w:p w14:paraId="798E789C" w14:textId="77777777" w:rsidR="005F4E12" w:rsidRDefault="006B5D03" w:rsidP="00F40C62">
      <w:pPr>
        <w:pStyle w:val="BodyTextIndent"/>
        <w:suppressAutoHyphens/>
        <w:ind w:left="360" w:hanging="360"/>
      </w:pPr>
      <w:r>
        <w:t>3</w:t>
      </w:r>
      <w:r w:rsidR="005F4E12">
        <w:t>.</w:t>
      </w:r>
      <w:r w:rsidR="005F4E12">
        <w:tab/>
        <w:t>A problem with controlled experiments in economics is that we may cause irreparable harm</w:t>
      </w:r>
      <w:r w:rsidR="00CC1F78">
        <w:t xml:space="preserve">. </w:t>
      </w:r>
      <w:r w:rsidR="005F4E12">
        <w:t>However, it would be hard to imagine a policy change that would make the Great Depression any worse than it actually was</w:t>
      </w:r>
      <w:r w:rsidR="00CC1F78">
        <w:t xml:space="preserve">. </w:t>
      </w:r>
      <w:r w:rsidR="005F4E12">
        <w:t xml:space="preserve">Some obvious possibilities include Bank of Canada </w:t>
      </w:r>
      <w:r w:rsidR="005D7E50">
        <w:t xml:space="preserve">making </w:t>
      </w:r>
      <w:r w:rsidR="005F4E12">
        <w:t>open market purchases to keep the money supply from shrinking, instituting bank reforms before the depression started, and avoiding high tariff rates.</w:t>
      </w:r>
    </w:p>
    <w:p w14:paraId="69B5FC05" w14:textId="77777777" w:rsidR="007525AD" w:rsidRPr="007525AD" w:rsidRDefault="007525AD" w:rsidP="007C7279"/>
    <w:p w14:paraId="059235B2" w14:textId="77777777" w:rsidR="005F4E12" w:rsidRDefault="006B5D03" w:rsidP="00F40C62">
      <w:pPr>
        <w:pStyle w:val="BodyTextIndent"/>
        <w:suppressAutoHyphens/>
        <w:ind w:left="0"/>
      </w:pPr>
      <w:r>
        <w:t>4</w:t>
      </w:r>
      <w:r w:rsidR="005F4E12">
        <w:t>.</w:t>
      </w:r>
      <w:r w:rsidR="005F4E12">
        <w:tab/>
        <w:t>Newton’s model of falling bodies</w:t>
      </w:r>
      <w:r w:rsidR="005D7E50">
        <w:t>:</w:t>
      </w:r>
    </w:p>
    <w:p w14:paraId="55229407" w14:textId="77777777" w:rsidR="005F4E12" w:rsidRDefault="005F4E12" w:rsidP="00F40C62">
      <w:pPr>
        <w:pStyle w:val="BodyTextIndent"/>
        <w:suppressAutoHyphens/>
        <w:ind w:left="0"/>
      </w:pPr>
      <w:r>
        <w:tab/>
      </w:r>
      <w:r>
        <w:tab/>
        <w:t>Ignores air resistance.</w:t>
      </w:r>
    </w:p>
    <w:p w14:paraId="2A95AA62" w14:textId="77777777" w:rsidR="005F4E12" w:rsidRDefault="005F4E12" w:rsidP="00F40C62">
      <w:pPr>
        <w:pStyle w:val="BodyTextIndent"/>
        <w:suppressAutoHyphens/>
        <w:ind w:left="0"/>
      </w:pPr>
      <w:r>
        <w:tab/>
      </w:r>
      <w:r>
        <w:tab/>
        <w:t>Works well for most dense objects and does not work well for feathers.</w:t>
      </w:r>
    </w:p>
    <w:p w14:paraId="4AB64346" w14:textId="77777777" w:rsidR="007525AD" w:rsidRPr="007525AD" w:rsidRDefault="007525AD" w:rsidP="00E06A60"/>
    <w:p w14:paraId="4D3FADD2" w14:textId="77777777" w:rsidR="005F4E12" w:rsidRDefault="005F4E12" w:rsidP="00F40C62">
      <w:pPr>
        <w:pStyle w:val="BodyTextIndent"/>
        <w:suppressAutoHyphens/>
        <w:ind w:left="0"/>
      </w:pPr>
      <w:r>
        <w:tab/>
        <w:t>Diagrams of plays in football and basketball</w:t>
      </w:r>
      <w:r w:rsidR="005D7E50">
        <w:t>:</w:t>
      </w:r>
    </w:p>
    <w:p w14:paraId="1EFC1F84" w14:textId="77777777" w:rsidR="005F4E12" w:rsidRDefault="005F4E12" w:rsidP="00F40C62">
      <w:pPr>
        <w:pStyle w:val="BodyTextIndent"/>
        <w:suppressAutoHyphens/>
        <w:ind w:left="0"/>
      </w:pPr>
      <w:r>
        <w:tab/>
      </w:r>
      <w:r>
        <w:tab/>
        <w:t>Ignore the characteristics of individual players and the reactions of opponents.</w:t>
      </w:r>
    </w:p>
    <w:p w14:paraId="4951D6B5" w14:textId="77777777" w:rsidR="005F4E12" w:rsidRDefault="005F4E12" w:rsidP="00F40C62">
      <w:pPr>
        <w:pStyle w:val="BodyTextIndent"/>
        <w:suppressAutoHyphens/>
        <w:ind w:left="0"/>
      </w:pPr>
      <w:r>
        <w:tab/>
      </w:r>
      <w:r>
        <w:tab/>
        <w:t>Work well for evenly matched teams.</w:t>
      </w:r>
    </w:p>
    <w:p w14:paraId="63A6A9BB" w14:textId="77777777" w:rsidR="007525AD" w:rsidRPr="007525AD" w:rsidRDefault="007525AD" w:rsidP="00E06A60"/>
    <w:p w14:paraId="0BCA4BD2" w14:textId="77777777" w:rsidR="005F4E12" w:rsidRDefault="005F4E12" w:rsidP="00F40C62">
      <w:pPr>
        <w:pStyle w:val="BodyTextIndent"/>
        <w:suppressAutoHyphens/>
        <w:ind w:left="0"/>
      </w:pPr>
      <w:r>
        <w:tab/>
        <w:t>Scale models of new aircraft designs</w:t>
      </w:r>
      <w:r w:rsidR="005D7E50">
        <w:t>:</w:t>
      </w:r>
    </w:p>
    <w:p w14:paraId="6ACB6571" w14:textId="77777777" w:rsidR="005F4E12" w:rsidRDefault="005F4E12" w:rsidP="00F40C62">
      <w:pPr>
        <w:pStyle w:val="BodyTextIndent"/>
        <w:suppressAutoHyphens/>
        <w:ind w:left="0"/>
      </w:pPr>
      <w:r>
        <w:tab/>
      </w:r>
      <w:r>
        <w:tab/>
        <w:t>Ignore working engines and interior contents.</w:t>
      </w:r>
    </w:p>
    <w:p w14:paraId="17FF9C0F" w14:textId="77777777" w:rsidR="006B5D03" w:rsidRDefault="005F4E12" w:rsidP="006B5D03">
      <w:pPr>
        <w:pStyle w:val="BodyTextIndent"/>
        <w:suppressAutoHyphens/>
        <w:ind w:left="0"/>
      </w:pPr>
      <w:r>
        <w:tab/>
      </w:r>
      <w:r>
        <w:tab/>
        <w:t>Wind tunnel testing approximates aerodynamics of actual aircraft.</w:t>
      </w:r>
    </w:p>
    <w:p w14:paraId="4412B69A" w14:textId="77777777" w:rsidR="006B5D03" w:rsidRDefault="006B5D03" w:rsidP="006B5D03">
      <w:pPr>
        <w:pStyle w:val="BodyTextIndent"/>
        <w:suppressAutoHyphens/>
        <w:ind w:left="0"/>
      </w:pPr>
    </w:p>
    <w:p w14:paraId="1CF412E8" w14:textId="77777777" w:rsidR="005F4E12" w:rsidRDefault="006B5D03" w:rsidP="006B5D03">
      <w:pPr>
        <w:pStyle w:val="BodyTextIndent"/>
        <w:suppressAutoHyphens/>
        <w:ind w:left="360" w:hanging="360"/>
      </w:pPr>
      <w:r>
        <w:t>5</w:t>
      </w:r>
      <w:r w:rsidR="005F4E12">
        <w:t>.</w:t>
      </w:r>
      <w:r w:rsidR="005F4E12">
        <w:tab/>
      </w:r>
      <w:r w:rsidR="00737B54">
        <w:t xml:space="preserve">During a recession, </w:t>
      </w:r>
      <w:r w:rsidR="00425BD6">
        <w:t>there are automatic effects on spending and taxes. Transfers such as employment insurance benefits increase, while taxes decrease because private incomes and spending fall</w:t>
      </w:r>
      <w:r w:rsidR="005F4E12">
        <w:t>.</w:t>
      </w:r>
      <w:r w:rsidR="00425BD6">
        <w:t xml:space="preserve"> As well, there were increases in discretionary spending and reductions in taxes, particularly by the federal government.</w:t>
      </w:r>
    </w:p>
    <w:p w14:paraId="5A860367" w14:textId="77777777" w:rsidR="007525AD" w:rsidRPr="007525AD" w:rsidRDefault="007525AD" w:rsidP="00E06A60"/>
    <w:p w14:paraId="623D7E4D" w14:textId="0895D0AB" w:rsidR="005F4E12" w:rsidRDefault="006B5D03" w:rsidP="006B5D03">
      <w:pPr>
        <w:pStyle w:val="BodyTextIndent"/>
        <w:suppressAutoHyphens/>
        <w:ind w:left="360" w:hanging="360"/>
      </w:pPr>
      <w:r>
        <w:t>6.</w:t>
      </w:r>
      <w:r>
        <w:tab/>
      </w:r>
      <w:r w:rsidR="00425BD6">
        <w:t xml:space="preserve">This may have been due to the fact that Canada is more dependent on natural resources, for example </w:t>
      </w:r>
      <w:r w:rsidR="00751F46">
        <w:t>oil and gas production, than is the United States, and world oil prices fell significantly beginning in mid</w:t>
      </w:r>
      <w:r w:rsidR="00B050FD">
        <w:t>-</w:t>
      </w:r>
      <w:r w:rsidR="00751F46">
        <w:t>2014, depressing natural resource extraction industries. As well, the recession had a more severe effect on the U.S. labor market, and in normal times the unemployment rate tends to be higher in Canada than in the United States.</w:t>
      </w:r>
    </w:p>
    <w:p w14:paraId="6C2341C9" w14:textId="77777777" w:rsidR="006B5D03" w:rsidRDefault="006B5D03" w:rsidP="006B5D03">
      <w:pPr>
        <w:pStyle w:val="BodyTextIndent"/>
        <w:suppressAutoHyphens/>
        <w:ind w:left="0"/>
      </w:pPr>
    </w:p>
    <w:p w14:paraId="1F9FB8DA" w14:textId="40DD1DB0" w:rsidR="005F4E12" w:rsidRDefault="007973A9" w:rsidP="0007639C">
      <w:pPr>
        <w:pStyle w:val="BodyTextIndent"/>
        <w:suppressAutoHyphens/>
        <w:ind w:left="357" w:hanging="357"/>
      </w:pPr>
      <w:r>
        <w:t xml:space="preserve">7.  </w:t>
      </w:r>
      <w:r w:rsidR="006B5D03">
        <w:t xml:space="preserve"> </w:t>
      </w:r>
      <w:r w:rsidR="00751F46">
        <w:t>Inflation and nominal interest rates certainly move together – they are positively</w:t>
      </w:r>
      <w:r w:rsidR="0007639C">
        <w:t xml:space="preserve"> </w:t>
      </w:r>
      <w:r w:rsidR="00751F46">
        <w:t xml:space="preserve">correlated. But do movements in the nominal interest rate cause movements in </w:t>
      </w:r>
      <w:r w:rsidR="0007639C">
        <w:t>the</w:t>
      </w:r>
      <w:r w:rsidR="0007639C">
        <w:t xml:space="preserve"> </w:t>
      </w:r>
      <w:r w:rsidR="00751F46">
        <w:t>inflation rate, or vice versa</w:t>
      </w:r>
      <w:r w:rsidR="006B5D03">
        <w:t>?</w:t>
      </w:r>
      <w:r w:rsidR="00751F46">
        <w:t xml:space="preserve"> This is hard to determine just from looking at the data, but there appears to be a pattern of increases (decreases) in the nominal interest rate leading increases (decreases) in the inflation rate, perhaps indicating that the former is causing the latter.</w:t>
      </w:r>
    </w:p>
    <w:p w14:paraId="4D834E59" w14:textId="77777777" w:rsidR="006B5D03" w:rsidRDefault="006B5D03" w:rsidP="006B5D03">
      <w:pPr>
        <w:pStyle w:val="BodyTextIndent"/>
        <w:suppressAutoHyphens/>
        <w:ind w:left="0"/>
      </w:pPr>
    </w:p>
    <w:p w14:paraId="41618D4A" w14:textId="77777777" w:rsidR="006B5D03" w:rsidRDefault="006B5D03" w:rsidP="006B5D03">
      <w:pPr>
        <w:pStyle w:val="BodyTextIndent"/>
        <w:numPr>
          <w:ilvl w:val="0"/>
          <w:numId w:val="1"/>
        </w:numPr>
        <w:suppressAutoHyphens/>
      </w:pPr>
      <w:r>
        <w:t>If the average nominal interest rate consistent with 2% inflation falls, and if the Bank of Canada pursues a policy of cutting nominal interest rates when a recession occurs, this can lead to a problem, in that the nominal interest rate cannot go below zero. That is, the Bank of Canada could more frequently be setting interest rates to zero, and not be able to decrease interest rates further.</w:t>
      </w:r>
    </w:p>
    <w:p w14:paraId="56762B5F" w14:textId="77777777" w:rsidR="007525AD" w:rsidRPr="007525AD" w:rsidRDefault="007525AD" w:rsidP="00E06A60"/>
    <w:p w14:paraId="0E6AAD09" w14:textId="7672D74E" w:rsidR="005F4E12" w:rsidRDefault="005F4E12" w:rsidP="0007639C">
      <w:pPr>
        <w:pStyle w:val="BodyTextIndent"/>
        <w:numPr>
          <w:ilvl w:val="0"/>
          <w:numId w:val="1"/>
        </w:numPr>
        <w:suppressAutoHyphens/>
      </w:pPr>
      <w:r>
        <w:t>As one possibility, fundamental changes in the supply and demand for lending may explain changes in the real rate of interest</w:t>
      </w:r>
      <w:r w:rsidR="00CC1F78">
        <w:t xml:space="preserve">. </w:t>
      </w:r>
      <w:r>
        <w:t>Alternatively, the mid</w:t>
      </w:r>
      <w:r w:rsidR="00576D4F">
        <w:t>-</w:t>
      </w:r>
      <w:r>
        <w:t>1970s was a period of rising inflation</w:t>
      </w:r>
      <w:r w:rsidR="00CC1F78">
        <w:t xml:space="preserve">. </w:t>
      </w:r>
      <w:r>
        <w:t>Borrowers’ willingness to pay interest depends on their expectations of future inflation</w:t>
      </w:r>
      <w:r w:rsidR="00CC1F78">
        <w:t xml:space="preserve">. </w:t>
      </w:r>
      <w:r>
        <w:t>If higher inflation w</w:t>
      </w:r>
      <w:r w:rsidR="005D7E50">
        <w:t>ere</w:t>
      </w:r>
      <w:r>
        <w:t xml:space="preserve"> expected to be temporary, the low observed real interest rates of the period would be consistent with somewhat higher </w:t>
      </w:r>
      <w:r>
        <w:rPr>
          <w:bCs/>
        </w:rPr>
        <w:t>expected real</w:t>
      </w:r>
      <w:r>
        <w:t xml:space="preserve"> interest rates.</w:t>
      </w:r>
      <w:r w:rsidR="003B2A58">
        <w:t xml:space="preserve"> During the 2008</w:t>
      </w:r>
      <w:r w:rsidR="00B050FD">
        <w:t>–</w:t>
      </w:r>
      <w:r w:rsidR="003B2A58">
        <w:t>2009 recession, a likely cause of low real interest rates was intervention by the Bank of Canada. Monetary policy can act to reduce or increase real interest rates in the short run.</w:t>
      </w:r>
    </w:p>
    <w:p w14:paraId="2F1E78AD" w14:textId="77777777" w:rsidR="007525AD" w:rsidRPr="007525AD" w:rsidRDefault="007525AD" w:rsidP="00E06A60"/>
    <w:p w14:paraId="3F084FDA" w14:textId="2EBACB77" w:rsidR="005F4E12" w:rsidRDefault="007973A9" w:rsidP="00F40C62">
      <w:pPr>
        <w:pStyle w:val="BodyTextIndent"/>
        <w:suppressAutoHyphens/>
        <w:ind w:left="360" w:hanging="360"/>
      </w:pPr>
      <w:r>
        <w:t>10</w:t>
      </w:r>
      <w:r w:rsidR="005F4E12">
        <w:t>.</w:t>
      </w:r>
      <w:r w:rsidR="005F4E12">
        <w:tab/>
      </w:r>
      <w:r w:rsidR="00DD2605">
        <w:t>Exports grew in excess of imports at the time, but during the 2008</w:t>
      </w:r>
      <w:r w:rsidR="00B050FD">
        <w:t>–</w:t>
      </w:r>
      <w:r w:rsidR="00DD2605">
        <w:t>2009 recession, a dramatic drop in exports sent the current account into deficit</w:t>
      </w:r>
      <w:r w:rsidR="005F4E12">
        <w:t xml:space="preserve">. </w:t>
      </w:r>
    </w:p>
    <w:sectPr w:rsidR="005F4E12" w:rsidSect="00B050FD">
      <w:headerReference w:type="even" r:id="rId7"/>
      <w:headerReference w:type="default" r:id="rId8"/>
      <w:footerReference w:type="even" r:id="rId9"/>
      <w:footerReference w:type="default" r:id="rId10"/>
      <w:footerReference w:type="first" r:id="rId11"/>
      <w:pgSz w:w="12240" w:h="15840" w:code="1"/>
      <w:pgMar w:top="1440" w:right="1797" w:bottom="1440" w:left="1797"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5CBDD" w14:textId="77777777" w:rsidR="00E4719A" w:rsidRDefault="00E4719A">
      <w:r>
        <w:separator/>
      </w:r>
    </w:p>
  </w:endnote>
  <w:endnote w:type="continuationSeparator" w:id="0">
    <w:p w14:paraId="26F71744" w14:textId="77777777" w:rsidR="00E4719A" w:rsidRDefault="00E47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AGaramond">
    <w:altName w:val="Courier New"/>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33917044"/>
      <w:docPartObj>
        <w:docPartGallery w:val="Page Numbers (Bottom of Page)"/>
        <w:docPartUnique/>
      </w:docPartObj>
    </w:sdtPr>
    <w:sdtContent>
      <w:p w14:paraId="1E1E5AAC" w14:textId="490100EB" w:rsidR="00B050FD" w:rsidRDefault="00B050FD" w:rsidP="00741171">
        <w:pPr>
          <w:pStyle w:val="Footer"/>
          <w:framePr w:wrap="none" w:vAnchor="text" w:hAnchor="margin" w:xAlign="outside" w:y="1"/>
          <w:rPr>
            <w:rStyle w:val="PageNumber"/>
          </w:rPr>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1E43192" w14:textId="0F4A0BC4" w:rsidR="00934315" w:rsidRPr="00E96EFC" w:rsidRDefault="00934315" w:rsidP="00B050FD">
    <w:pPr>
      <w:ind w:right="360" w:firstLine="360"/>
      <w:jc w:val="center"/>
      <w:rPr>
        <w:lang w:val="en-CA"/>
      </w:rPr>
    </w:pPr>
    <w:r>
      <w:rPr>
        <w:lang w:val="en-CA"/>
      </w:rPr>
      <w:t xml:space="preserve">Copyright © </w:t>
    </w:r>
    <w:r w:rsidR="0007639C">
      <w:rPr>
        <w:lang w:val="en-CA"/>
      </w:rPr>
      <w:t>20</w:t>
    </w:r>
    <w:r w:rsidR="0007639C">
      <w:rPr>
        <w:lang w:val="en-CA"/>
      </w:rPr>
      <w:t>21</w:t>
    </w:r>
    <w:r w:rsidR="0007639C">
      <w:rPr>
        <w:lang w:val="en-CA"/>
      </w:rPr>
      <w:t xml:space="preserve"> </w:t>
    </w:r>
    <w:r>
      <w:rPr>
        <w:lang w:val="en-CA"/>
      </w:rPr>
      <w:t>Pearson Canada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24748577"/>
      <w:docPartObj>
        <w:docPartGallery w:val="Page Numbers (Bottom of Page)"/>
        <w:docPartUnique/>
      </w:docPartObj>
    </w:sdtPr>
    <w:sdtContent>
      <w:p w14:paraId="0B80EE8F" w14:textId="3A88F268" w:rsidR="00B050FD" w:rsidRDefault="00B050FD" w:rsidP="00741171">
        <w:pPr>
          <w:pStyle w:val="Footer"/>
          <w:framePr w:wrap="none" w:vAnchor="text" w:hAnchor="margin" w:xAlign="outside" w:y="1"/>
          <w:rPr>
            <w:rStyle w:val="PageNumber"/>
          </w:rPr>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8643582" w14:textId="6AD29A9E" w:rsidR="00934315" w:rsidRDefault="00934315" w:rsidP="00B050FD">
    <w:pPr>
      <w:ind w:right="360" w:firstLine="360"/>
      <w:jc w:val="center"/>
      <w:rPr>
        <w:lang w:val="en-CA"/>
      </w:rPr>
    </w:pPr>
    <w:r>
      <w:rPr>
        <w:lang w:val="en-CA"/>
      </w:rPr>
      <w:t xml:space="preserve">Copyright © </w:t>
    </w:r>
    <w:r w:rsidR="0007639C">
      <w:rPr>
        <w:lang w:val="en-CA"/>
      </w:rPr>
      <w:t>20</w:t>
    </w:r>
    <w:r w:rsidR="0007639C">
      <w:rPr>
        <w:lang w:val="en-CA"/>
      </w:rPr>
      <w:t>21</w:t>
    </w:r>
    <w:r w:rsidR="0007639C">
      <w:rPr>
        <w:lang w:val="en-CA"/>
      </w:rPr>
      <w:t xml:space="preserve"> </w:t>
    </w:r>
    <w:r>
      <w:rPr>
        <w:lang w:val="en-CA"/>
      </w:rPr>
      <w:t>Pearson Canada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8829533"/>
      <w:docPartObj>
        <w:docPartGallery w:val="Page Numbers (Bottom of Page)"/>
        <w:docPartUnique/>
      </w:docPartObj>
    </w:sdtPr>
    <w:sdtContent>
      <w:p w14:paraId="59C464BA" w14:textId="755DFF4D" w:rsidR="0007639C" w:rsidRDefault="00B050FD" w:rsidP="00741171">
        <w:pPr>
          <w:pStyle w:val="Footer"/>
          <w:framePr w:wrap="none" w:vAnchor="text" w:hAnchor="margin" w:xAlign="outside" w:y="1"/>
          <w:rPr>
            <w:rStyle w:val="PageNumber"/>
          </w:rPr>
        </w:pPr>
        <w:r>
          <w:rPr>
            <w:rStyle w:val="PageNumber"/>
          </w:rPr>
          <w:t>1–</w:t>
        </w:r>
        <w:r w:rsidR="0007639C">
          <w:rPr>
            <w:rStyle w:val="PageNumber"/>
          </w:rPr>
          <w:fldChar w:fldCharType="begin"/>
        </w:r>
        <w:r w:rsidR="0007639C">
          <w:rPr>
            <w:rStyle w:val="PageNumber"/>
          </w:rPr>
          <w:instrText xml:space="preserve"> PAGE </w:instrText>
        </w:r>
        <w:r w:rsidR="0007639C">
          <w:rPr>
            <w:rStyle w:val="PageNumber"/>
          </w:rPr>
          <w:fldChar w:fldCharType="separate"/>
        </w:r>
        <w:r w:rsidR="0007639C">
          <w:rPr>
            <w:rStyle w:val="PageNumber"/>
            <w:noProof/>
          </w:rPr>
          <w:t>1</w:t>
        </w:r>
        <w:r w:rsidR="0007639C">
          <w:rPr>
            <w:rStyle w:val="PageNumber"/>
          </w:rPr>
          <w:fldChar w:fldCharType="end"/>
        </w:r>
      </w:p>
    </w:sdtContent>
  </w:sdt>
  <w:p w14:paraId="3373AB39" w14:textId="195092B7" w:rsidR="00934315" w:rsidRPr="00E96EFC" w:rsidRDefault="00934315" w:rsidP="00B050FD">
    <w:pPr>
      <w:tabs>
        <w:tab w:val="center" w:pos="2268"/>
        <w:tab w:val="center" w:pos="6360"/>
        <w:tab w:val="right" w:pos="8640"/>
      </w:tabs>
      <w:ind w:right="360" w:firstLine="360"/>
      <w:jc w:val="center"/>
      <w:rPr>
        <w:lang w:val="en-CA"/>
      </w:rPr>
    </w:pPr>
    <w:r>
      <w:rPr>
        <w:lang w:val="en-CA"/>
      </w:rPr>
      <w:t xml:space="preserve">Copyright © </w:t>
    </w:r>
    <w:r w:rsidR="0007639C">
      <w:rPr>
        <w:lang w:val="en-CA"/>
      </w:rPr>
      <w:t>20</w:t>
    </w:r>
    <w:r w:rsidR="0007639C">
      <w:rPr>
        <w:lang w:val="en-CA"/>
      </w:rPr>
      <w:t>21</w:t>
    </w:r>
    <w:r w:rsidR="0007639C">
      <w:rPr>
        <w:lang w:val="en-CA"/>
      </w:rPr>
      <w:t xml:space="preserve"> </w:t>
    </w:r>
    <w:r>
      <w:rPr>
        <w:lang w:val="en-CA"/>
      </w:rPr>
      <w:t>Pearson Canada Inc.</w:t>
    </w:r>
    <w:r w:rsidR="0007639C" w:rsidDel="0007639C">
      <w:rPr>
        <w:lang w:val="en-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2FF24" w14:textId="77777777" w:rsidR="00E4719A" w:rsidRDefault="00E4719A">
      <w:r>
        <w:separator/>
      </w:r>
    </w:p>
  </w:footnote>
  <w:footnote w:type="continuationSeparator" w:id="0">
    <w:p w14:paraId="124D13DE" w14:textId="77777777" w:rsidR="00E4719A" w:rsidRDefault="00E47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BB209" w14:textId="77777777" w:rsidR="00934315" w:rsidRPr="00A453DF" w:rsidRDefault="00934315" w:rsidP="00E96EFC">
    <w:pPr>
      <w:pStyle w:val="Header"/>
      <w:pBdr>
        <w:bottom w:val="single" w:sz="4" w:space="1" w:color="auto"/>
        <w:between w:val="single" w:sz="4" w:space="1" w:color="auto"/>
      </w:pBdr>
      <w:jc w:val="both"/>
      <w:rPr>
        <w:lang w:val="en-CA"/>
      </w:rPr>
    </w:pPr>
    <w:r>
      <w:rPr>
        <w:lang w:val="en-CA"/>
      </w:rPr>
      <w:t xml:space="preserve">Instructor’s Manual for </w:t>
    </w:r>
    <w:r w:rsidRPr="00B334E1">
      <w:rPr>
        <w:i/>
        <w:lang w:val="en-CA"/>
      </w:rPr>
      <w:t>Macroeconomics</w:t>
    </w:r>
    <w:r>
      <w:rPr>
        <w:lang w:val="en-CA"/>
      </w:rPr>
      <w:t xml:space="preserve">, </w:t>
    </w:r>
    <w:r w:rsidR="00602114">
      <w:rPr>
        <w:lang w:val="en-CA"/>
      </w:rPr>
      <w:t>Sixth</w:t>
    </w:r>
    <w:r>
      <w:rPr>
        <w:lang w:val="en-CA"/>
      </w:rPr>
      <w:t xml:space="preserve"> Canadian Edition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19EA2" w14:textId="77777777" w:rsidR="00934315" w:rsidRDefault="00934315" w:rsidP="00C97F7D">
    <w:pPr>
      <w:pStyle w:val="Header"/>
      <w:pBdr>
        <w:bottom w:val="single" w:sz="4" w:space="1" w:color="auto"/>
      </w:pBdr>
      <w:jc w:val="right"/>
      <w:rPr>
        <w:lang w:val="en-CA"/>
      </w:rPr>
    </w:pPr>
    <w:r>
      <w:rPr>
        <w:lang w:val="en-CA"/>
      </w:rPr>
      <w:t>Chapter 1: Introduction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46D97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BFE86D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33459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1D2C8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904AC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C96C20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9849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A62664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F0C8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99E0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singleLevel"/>
    <w:tmpl w:val="00000000"/>
    <w:lvl w:ilvl="0">
      <w:start w:val="2"/>
      <w:numFmt w:val="none"/>
      <w:lvlText w:val="d)"/>
      <w:lvlJc w:val="left"/>
      <w:pPr>
        <w:tabs>
          <w:tab w:val="num" w:pos="615"/>
        </w:tabs>
        <w:ind w:left="615" w:hanging="360"/>
      </w:pPr>
      <w:rPr>
        <w:rFonts w:hint="default"/>
      </w:rPr>
    </w:lvl>
  </w:abstractNum>
  <w:abstractNum w:abstractNumId="11" w15:restartNumberingAfterBreak="0">
    <w:nsid w:val="01DE4686"/>
    <w:multiLevelType w:val="hybridMultilevel"/>
    <w:tmpl w:val="93A83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8005B6"/>
    <w:multiLevelType w:val="multilevel"/>
    <w:tmpl w:val="B394E5D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06D4801"/>
    <w:multiLevelType w:val="hybridMultilevel"/>
    <w:tmpl w:val="3D52C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9C273C"/>
    <w:multiLevelType w:val="hybridMultilevel"/>
    <w:tmpl w:val="A0F0B640"/>
    <w:lvl w:ilvl="0" w:tplc="D57A4B28">
      <w:start w:val="4"/>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1611384D"/>
    <w:multiLevelType w:val="multilevel"/>
    <w:tmpl w:val="5FB66104"/>
    <w:lvl w:ilvl="0">
      <w:start w:val="1"/>
      <w:numFmt w:val="lowerRoman"/>
      <w:lvlText w:val="%1."/>
      <w:lvlJc w:val="righ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1D805C5B"/>
    <w:multiLevelType w:val="multilevel"/>
    <w:tmpl w:val="B394E5D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F181D37"/>
    <w:multiLevelType w:val="hybridMultilevel"/>
    <w:tmpl w:val="FE9EBCB2"/>
    <w:lvl w:ilvl="0" w:tplc="6CC664EA">
      <w:start w:val="4"/>
      <w:numFmt w:val="lowerLetter"/>
      <w:lvlText w:val="%1)"/>
      <w:lvlJc w:val="left"/>
      <w:pPr>
        <w:ind w:left="960" w:hanging="36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8" w15:restartNumberingAfterBreak="0">
    <w:nsid w:val="3CB94E08"/>
    <w:multiLevelType w:val="multilevel"/>
    <w:tmpl w:val="B394E5D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F0C0395"/>
    <w:multiLevelType w:val="hybridMultilevel"/>
    <w:tmpl w:val="B8FE9E3C"/>
    <w:lvl w:ilvl="0" w:tplc="0409000F">
      <w:start w:val="1"/>
      <w:numFmt w:val="decimal"/>
      <w:lvlText w:val="%1."/>
      <w:lvlJc w:val="left"/>
      <w:pPr>
        <w:tabs>
          <w:tab w:val="num" w:pos="720"/>
        </w:tabs>
        <w:ind w:left="720" w:hanging="360"/>
      </w:pPr>
      <w:rPr>
        <w:rFonts w:hint="default"/>
      </w:rPr>
    </w:lvl>
    <w:lvl w:ilvl="1" w:tplc="0F66151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7879FE"/>
    <w:multiLevelType w:val="hybridMultilevel"/>
    <w:tmpl w:val="3B70B8C2"/>
    <w:lvl w:ilvl="0" w:tplc="BAF8447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B226C1"/>
    <w:multiLevelType w:val="hybridMultilevel"/>
    <w:tmpl w:val="E508F1FE"/>
    <w:lvl w:ilvl="0" w:tplc="BB58B854">
      <w:start w:val="8"/>
      <w:numFmt w:val="lowerLetter"/>
      <w:lvlText w:val="%1)"/>
      <w:lvlJc w:val="left"/>
      <w:pPr>
        <w:tabs>
          <w:tab w:val="num" w:pos="720"/>
        </w:tabs>
        <w:ind w:left="720" w:hanging="360"/>
      </w:pPr>
      <w:rPr>
        <w:rFonts w:hint="default"/>
      </w:rPr>
    </w:lvl>
    <w:lvl w:ilvl="1" w:tplc="D304D7E4">
      <w:start w:val="8"/>
      <w:numFmt w:val="lowerLetter"/>
      <w:lvlText w:val="%2)"/>
      <w:lvlJc w:val="left"/>
      <w:pPr>
        <w:tabs>
          <w:tab w:val="num" w:pos="360"/>
        </w:tabs>
        <w:ind w:left="360"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C727AF"/>
    <w:multiLevelType w:val="hybridMultilevel"/>
    <w:tmpl w:val="329E24E8"/>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67C4108">
      <w:start w:val="1"/>
      <w:numFmt w:val="lowerRoman"/>
      <w:lvlText w:val="%3)"/>
      <w:lvlJc w:val="left"/>
      <w:pPr>
        <w:tabs>
          <w:tab w:val="num" w:pos="360"/>
        </w:tabs>
        <w:ind w:left="360" w:firstLine="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0492E73"/>
    <w:multiLevelType w:val="singleLevel"/>
    <w:tmpl w:val="B75CD57C"/>
    <w:lvl w:ilvl="0">
      <w:start w:val="1"/>
      <w:numFmt w:val="upperLetter"/>
      <w:lvlText w:val="%1."/>
      <w:lvlJc w:val="left"/>
      <w:pPr>
        <w:tabs>
          <w:tab w:val="num" w:pos="1680"/>
        </w:tabs>
        <w:ind w:left="1680" w:hanging="360"/>
      </w:pPr>
      <w:rPr>
        <w:rFonts w:cs="Times New Roman" w:hint="default"/>
      </w:rPr>
    </w:lvl>
  </w:abstractNum>
  <w:abstractNum w:abstractNumId="24" w15:restartNumberingAfterBreak="0">
    <w:nsid w:val="6D8E3F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2FE3DA7"/>
    <w:multiLevelType w:val="multilevel"/>
    <w:tmpl w:val="FE42DD3A"/>
    <w:lvl w:ilvl="0">
      <w:start w:val="8"/>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6A8609B"/>
    <w:multiLevelType w:val="hybridMultilevel"/>
    <w:tmpl w:val="D5CC79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8D7F43"/>
    <w:multiLevelType w:val="hybridMultilevel"/>
    <w:tmpl w:val="21B0C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596392"/>
    <w:multiLevelType w:val="hybridMultilevel"/>
    <w:tmpl w:val="52F87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4"/>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3"/>
  </w:num>
  <w:num w:numId="17">
    <w:abstractNumId w:val="19"/>
  </w:num>
  <w:num w:numId="18">
    <w:abstractNumId w:val="16"/>
  </w:num>
  <w:num w:numId="19">
    <w:abstractNumId w:val="22"/>
  </w:num>
  <w:num w:numId="20">
    <w:abstractNumId w:val="15"/>
  </w:num>
  <w:num w:numId="21">
    <w:abstractNumId w:val="12"/>
  </w:num>
  <w:num w:numId="22">
    <w:abstractNumId w:val="21"/>
  </w:num>
  <w:num w:numId="23">
    <w:abstractNumId w:val="25"/>
  </w:num>
  <w:num w:numId="24">
    <w:abstractNumId w:val="14"/>
  </w:num>
  <w:num w:numId="25">
    <w:abstractNumId w:val="17"/>
  </w:num>
  <w:num w:numId="26">
    <w:abstractNumId w:val="28"/>
  </w:num>
  <w:num w:numId="27">
    <w:abstractNumId w:val="27"/>
  </w:num>
  <w:num w:numId="28">
    <w:abstractNumId w:val="1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activeWritingStyle w:appName="MSWord" w:lang="en-US" w:vendorID="64" w:dllVersion="5" w:nlCheck="1" w:checkStyle="1"/>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E12"/>
    <w:rsid w:val="000311F0"/>
    <w:rsid w:val="00034E1C"/>
    <w:rsid w:val="00067628"/>
    <w:rsid w:val="00071404"/>
    <w:rsid w:val="0007639C"/>
    <w:rsid w:val="000A77D4"/>
    <w:rsid w:val="000C043D"/>
    <w:rsid w:val="000D3540"/>
    <w:rsid w:val="000D6889"/>
    <w:rsid w:val="00100726"/>
    <w:rsid w:val="0011564D"/>
    <w:rsid w:val="00122A40"/>
    <w:rsid w:val="00136CC8"/>
    <w:rsid w:val="00153832"/>
    <w:rsid w:val="00155B44"/>
    <w:rsid w:val="00176EEB"/>
    <w:rsid w:val="001B25A7"/>
    <w:rsid w:val="001D7025"/>
    <w:rsid w:val="001F206F"/>
    <w:rsid w:val="0020075E"/>
    <w:rsid w:val="002135B5"/>
    <w:rsid w:val="00224B15"/>
    <w:rsid w:val="00243F44"/>
    <w:rsid w:val="00262FC4"/>
    <w:rsid w:val="00270D7D"/>
    <w:rsid w:val="00287DB4"/>
    <w:rsid w:val="002B0999"/>
    <w:rsid w:val="002B22F8"/>
    <w:rsid w:val="002E62D2"/>
    <w:rsid w:val="002F10C6"/>
    <w:rsid w:val="003429A1"/>
    <w:rsid w:val="00352AB3"/>
    <w:rsid w:val="00361FE4"/>
    <w:rsid w:val="0036615F"/>
    <w:rsid w:val="00390027"/>
    <w:rsid w:val="003A36AA"/>
    <w:rsid w:val="003A5667"/>
    <w:rsid w:val="003A59E6"/>
    <w:rsid w:val="003B2A58"/>
    <w:rsid w:val="003C154E"/>
    <w:rsid w:val="003C4AD1"/>
    <w:rsid w:val="00400827"/>
    <w:rsid w:val="0041041F"/>
    <w:rsid w:val="00420B7D"/>
    <w:rsid w:val="00425BD6"/>
    <w:rsid w:val="00426067"/>
    <w:rsid w:val="00456561"/>
    <w:rsid w:val="00486F25"/>
    <w:rsid w:val="004B3BC6"/>
    <w:rsid w:val="004D5FD2"/>
    <w:rsid w:val="004E68C7"/>
    <w:rsid w:val="004F4B61"/>
    <w:rsid w:val="005040A3"/>
    <w:rsid w:val="00504F89"/>
    <w:rsid w:val="00505D66"/>
    <w:rsid w:val="005062C3"/>
    <w:rsid w:val="00520E2C"/>
    <w:rsid w:val="00540243"/>
    <w:rsid w:val="005567DF"/>
    <w:rsid w:val="005624DF"/>
    <w:rsid w:val="00576D4F"/>
    <w:rsid w:val="00594A80"/>
    <w:rsid w:val="005A7397"/>
    <w:rsid w:val="005C267F"/>
    <w:rsid w:val="005D7768"/>
    <w:rsid w:val="005D7E50"/>
    <w:rsid w:val="005E23D1"/>
    <w:rsid w:val="005E4E62"/>
    <w:rsid w:val="005F4E12"/>
    <w:rsid w:val="005F5B98"/>
    <w:rsid w:val="00602114"/>
    <w:rsid w:val="00616731"/>
    <w:rsid w:val="00635A89"/>
    <w:rsid w:val="006552EA"/>
    <w:rsid w:val="00677EDB"/>
    <w:rsid w:val="00682C93"/>
    <w:rsid w:val="00683680"/>
    <w:rsid w:val="00685D08"/>
    <w:rsid w:val="006A1D84"/>
    <w:rsid w:val="006B4D24"/>
    <w:rsid w:val="006B5D03"/>
    <w:rsid w:val="006F1EF8"/>
    <w:rsid w:val="006F7D12"/>
    <w:rsid w:val="0072257A"/>
    <w:rsid w:val="007250B6"/>
    <w:rsid w:val="00737B54"/>
    <w:rsid w:val="00746090"/>
    <w:rsid w:val="00751F46"/>
    <w:rsid w:val="007525AD"/>
    <w:rsid w:val="007617F9"/>
    <w:rsid w:val="0079461D"/>
    <w:rsid w:val="007973A9"/>
    <w:rsid w:val="007B7BBA"/>
    <w:rsid w:val="007C7279"/>
    <w:rsid w:val="007F3CEB"/>
    <w:rsid w:val="007F4D91"/>
    <w:rsid w:val="007F7560"/>
    <w:rsid w:val="007F7B6E"/>
    <w:rsid w:val="00826517"/>
    <w:rsid w:val="00840CCA"/>
    <w:rsid w:val="008503D1"/>
    <w:rsid w:val="00866504"/>
    <w:rsid w:val="00881F8F"/>
    <w:rsid w:val="00897F06"/>
    <w:rsid w:val="008A0C89"/>
    <w:rsid w:val="008B7515"/>
    <w:rsid w:val="008E2B18"/>
    <w:rsid w:val="008E797F"/>
    <w:rsid w:val="00906443"/>
    <w:rsid w:val="00914D20"/>
    <w:rsid w:val="00934315"/>
    <w:rsid w:val="00960D61"/>
    <w:rsid w:val="0099455A"/>
    <w:rsid w:val="009B1EB1"/>
    <w:rsid w:val="009B4142"/>
    <w:rsid w:val="009B4384"/>
    <w:rsid w:val="009D086B"/>
    <w:rsid w:val="00A06203"/>
    <w:rsid w:val="00A548E2"/>
    <w:rsid w:val="00A75849"/>
    <w:rsid w:val="00A80E20"/>
    <w:rsid w:val="00A86CB3"/>
    <w:rsid w:val="00A96EA6"/>
    <w:rsid w:val="00AA5676"/>
    <w:rsid w:val="00AD2227"/>
    <w:rsid w:val="00AE5A28"/>
    <w:rsid w:val="00B04441"/>
    <w:rsid w:val="00B050FD"/>
    <w:rsid w:val="00B06C95"/>
    <w:rsid w:val="00B26387"/>
    <w:rsid w:val="00B334E1"/>
    <w:rsid w:val="00B723BB"/>
    <w:rsid w:val="00B73635"/>
    <w:rsid w:val="00B77C83"/>
    <w:rsid w:val="00B87C2C"/>
    <w:rsid w:val="00BA4F0E"/>
    <w:rsid w:val="00BB7FDD"/>
    <w:rsid w:val="00BE15DF"/>
    <w:rsid w:val="00BE5AB0"/>
    <w:rsid w:val="00BE7FBA"/>
    <w:rsid w:val="00C032F8"/>
    <w:rsid w:val="00C53FF5"/>
    <w:rsid w:val="00C61F01"/>
    <w:rsid w:val="00C70D7E"/>
    <w:rsid w:val="00C7573F"/>
    <w:rsid w:val="00C81B40"/>
    <w:rsid w:val="00C97F7D"/>
    <w:rsid w:val="00CC1F78"/>
    <w:rsid w:val="00CC787B"/>
    <w:rsid w:val="00CD02F1"/>
    <w:rsid w:val="00CD3BFA"/>
    <w:rsid w:val="00CE3F08"/>
    <w:rsid w:val="00CF6BAF"/>
    <w:rsid w:val="00D16F5D"/>
    <w:rsid w:val="00D24401"/>
    <w:rsid w:val="00D31DFB"/>
    <w:rsid w:val="00D37031"/>
    <w:rsid w:val="00D57273"/>
    <w:rsid w:val="00D57AFC"/>
    <w:rsid w:val="00D62760"/>
    <w:rsid w:val="00D64790"/>
    <w:rsid w:val="00D8178D"/>
    <w:rsid w:val="00D82250"/>
    <w:rsid w:val="00D96ACF"/>
    <w:rsid w:val="00DB4830"/>
    <w:rsid w:val="00DC7877"/>
    <w:rsid w:val="00DD2605"/>
    <w:rsid w:val="00E06A60"/>
    <w:rsid w:val="00E1171A"/>
    <w:rsid w:val="00E4719A"/>
    <w:rsid w:val="00E674C7"/>
    <w:rsid w:val="00E96EFC"/>
    <w:rsid w:val="00EA5DFF"/>
    <w:rsid w:val="00ED6936"/>
    <w:rsid w:val="00ED6968"/>
    <w:rsid w:val="00EF0B85"/>
    <w:rsid w:val="00EF18CE"/>
    <w:rsid w:val="00F001D6"/>
    <w:rsid w:val="00F009BC"/>
    <w:rsid w:val="00F03A4D"/>
    <w:rsid w:val="00F123F4"/>
    <w:rsid w:val="00F20EF7"/>
    <w:rsid w:val="00F37194"/>
    <w:rsid w:val="00F40668"/>
    <w:rsid w:val="00F40C62"/>
    <w:rsid w:val="00F575DF"/>
    <w:rsid w:val="00F70D00"/>
    <w:rsid w:val="00FA1AA5"/>
    <w:rsid w:val="00FD6E57"/>
    <w:rsid w:val="00FE1ADD"/>
    <w:rsid w:val="00FE6ABB"/>
    <w:rsid w:val="00FF00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B62F90"/>
  <w15:chartTrackingRefBased/>
  <w15:docId w15:val="{D6A2768D-020B-B74E-9BC7-1A57CF59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720" w:hanging="360"/>
    </w:pPr>
  </w:style>
  <w:style w:type="paragraph" w:styleId="BodyTextIndent">
    <w:name w:val="Body Text Indent"/>
    <w:basedOn w:val="Normal"/>
    <w:pPr>
      <w:ind w:left="720"/>
    </w:pPr>
  </w:style>
  <w:style w:type="paragraph" w:styleId="Footer">
    <w:name w:val="footer"/>
    <w:basedOn w:val="Normal"/>
    <w:pPr>
      <w:tabs>
        <w:tab w:val="center" w:pos="4320"/>
        <w:tab w:val="right" w:pos="8640"/>
      </w:tabs>
    </w:pPr>
  </w:style>
  <w:style w:type="paragraph" w:styleId="BodyTextIndent3">
    <w:name w:val="Body Text Indent 3"/>
    <w:basedOn w:val="Normal"/>
    <w:pPr>
      <w:ind w:left="360"/>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spacing w:after="120"/>
      <w:ind w:left="360" w:firstLine="210"/>
    </w:p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4"/>
      </w:numPr>
    </w:pPr>
  </w:style>
  <w:style w:type="paragraph" w:styleId="ListBullet2">
    <w:name w:val="List Bullet 2"/>
    <w:basedOn w:val="Normal"/>
    <w:autoRedefine/>
    <w:pPr>
      <w:numPr>
        <w:numId w:val="5"/>
      </w:numPr>
    </w:pPr>
  </w:style>
  <w:style w:type="paragraph" w:styleId="ListBullet3">
    <w:name w:val="List Bullet 3"/>
    <w:basedOn w:val="Normal"/>
    <w:autoRedefine/>
    <w:pPr>
      <w:numPr>
        <w:numId w:val="6"/>
      </w:numPr>
    </w:pPr>
  </w:style>
  <w:style w:type="paragraph" w:styleId="ListBullet4">
    <w:name w:val="List Bullet 4"/>
    <w:basedOn w:val="Normal"/>
    <w:autoRedefine/>
    <w:pPr>
      <w:numPr>
        <w:numId w:val="7"/>
      </w:numPr>
    </w:pPr>
  </w:style>
  <w:style w:type="paragraph" w:styleId="ListBullet5">
    <w:name w:val="List Bullet 5"/>
    <w:basedOn w:val="Normal"/>
    <w:autoRedefine/>
    <w:pPr>
      <w:numPr>
        <w:numId w:val="8"/>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pPr>
  </w:style>
  <w:style w:type="paragraph" w:styleId="ListNumber2">
    <w:name w:val="List Number 2"/>
    <w:basedOn w:val="Normal"/>
    <w:pPr>
      <w:numPr>
        <w:numId w:val="10"/>
      </w:numPr>
    </w:pPr>
  </w:style>
  <w:style w:type="paragraph" w:styleId="ListNumber3">
    <w:name w:val="List Number 3"/>
    <w:basedOn w:val="Normal"/>
    <w:pPr>
      <w:numPr>
        <w:numId w:val="11"/>
      </w:numPr>
    </w:pPr>
  </w:style>
  <w:style w:type="paragraph" w:styleId="ListNumber4">
    <w:name w:val="List Number 4"/>
    <w:basedOn w:val="Normal"/>
    <w:pPr>
      <w:numPr>
        <w:numId w:val="12"/>
      </w:numPr>
    </w:pPr>
  </w:style>
  <w:style w:type="paragraph" w:styleId="ListNumber5">
    <w:name w:val="List Number 5"/>
    <w:basedOn w:val="Normal"/>
    <w:pPr>
      <w:numPr>
        <w:numId w:val="1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1">
    <w:name w:val="T1"/>
    <w:basedOn w:val="Normal"/>
    <w:rsid w:val="008503D1"/>
    <w:pPr>
      <w:keepNext/>
    </w:pPr>
    <w:rPr>
      <w:rFonts w:ascii="Times" w:hAnsi="Times"/>
      <w:sz w:val="22"/>
      <w:szCs w:val="20"/>
    </w:rPr>
  </w:style>
  <w:style w:type="paragraph" w:customStyle="1" w:styleId="BodyTextIndentwList">
    <w:name w:val="Body Text Indent w/List"/>
    <w:basedOn w:val="BodyText2"/>
    <w:rsid w:val="00F20EF7"/>
    <w:pPr>
      <w:tabs>
        <w:tab w:val="left" w:pos="1320"/>
        <w:tab w:val="left" w:pos="1680"/>
      </w:tabs>
      <w:autoSpaceDE w:val="0"/>
      <w:autoSpaceDN w:val="0"/>
      <w:spacing w:after="40" w:line="240" w:lineRule="atLeast"/>
      <w:ind w:left="1680" w:hanging="720"/>
    </w:pPr>
    <w:rPr>
      <w:rFonts w:ascii="AGaramond" w:hAnsi="AGaramond" w:cs="AGaramond"/>
      <w:sz w:val="20"/>
      <w:szCs w:val="20"/>
    </w:rPr>
  </w:style>
  <w:style w:type="paragraph" w:customStyle="1" w:styleId="OutlineH2">
    <w:name w:val="Outline H2"/>
    <w:basedOn w:val="BodyText"/>
    <w:rsid w:val="00400827"/>
    <w:pPr>
      <w:tabs>
        <w:tab w:val="left" w:pos="1680"/>
      </w:tabs>
      <w:autoSpaceDE w:val="0"/>
      <w:autoSpaceDN w:val="0"/>
      <w:spacing w:after="60" w:line="240" w:lineRule="atLeast"/>
      <w:ind w:left="1680" w:hanging="360"/>
    </w:pPr>
    <w:rPr>
      <w:rFonts w:ascii="AGaramond" w:hAnsi="AGaramond" w:cs="AGaramond"/>
      <w:sz w:val="20"/>
      <w:szCs w:val="20"/>
    </w:rPr>
  </w:style>
  <w:style w:type="table" w:styleId="TableGrid">
    <w:name w:val="Table Grid"/>
    <w:basedOn w:val="TableNormal"/>
    <w:rsid w:val="00D57A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F001D6"/>
    <w:rPr>
      <w:sz w:val="16"/>
      <w:szCs w:val="16"/>
    </w:rPr>
  </w:style>
  <w:style w:type="paragraph" w:styleId="CommentSubject">
    <w:name w:val="annotation subject"/>
    <w:basedOn w:val="CommentText"/>
    <w:next w:val="CommentText"/>
    <w:link w:val="CommentSubjectChar"/>
    <w:rsid w:val="00F001D6"/>
    <w:rPr>
      <w:b/>
      <w:bCs/>
    </w:rPr>
  </w:style>
  <w:style w:type="character" w:customStyle="1" w:styleId="CommentTextChar">
    <w:name w:val="Comment Text Char"/>
    <w:link w:val="CommentText"/>
    <w:semiHidden/>
    <w:rsid w:val="00F001D6"/>
    <w:rPr>
      <w:lang w:val="en-US" w:eastAsia="en-US"/>
    </w:rPr>
  </w:style>
  <w:style w:type="character" w:customStyle="1" w:styleId="CommentSubjectChar">
    <w:name w:val="Comment Subject Char"/>
    <w:basedOn w:val="CommentTextChar"/>
    <w:link w:val="CommentSubject"/>
    <w:rsid w:val="00F001D6"/>
    <w:rPr>
      <w:lang w:val="en-US" w:eastAsia="en-US"/>
    </w:rPr>
  </w:style>
  <w:style w:type="paragraph" w:styleId="Revision">
    <w:name w:val="Revision"/>
    <w:hidden/>
    <w:uiPriority w:val="99"/>
    <w:semiHidden/>
    <w:rsid w:val="00F001D6"/>
    <w:rPr>
      <w:sz w:val="24"/>
      <w:szCs w:val="24"/>
      <w:lang w:val="en-US"/>
    </w:rPr>
  </w:style>
  <w:style w:type="paragraph" w:styleId="BalloonText">
    <w:name w:val="Balloon Text"/>
    <w:basedOn w:val="Normal"/>
    <w:link w:val="BalloonTextChar"/>
    <w:rsid w:val="00F001D6"/>
    <w:rPr>
      <w:rFonts w:ascii="Tahoma" w:hAnsi="Tahoma"/>
      <w:sz w:val="16"/>
      <w:szCs w:val="16"/>
    </w:rPr>
  </w:style>
  <w:style w:type="character" w:customStyle="1" w:styleId="BalloonTextChar">
    <w:name w:val="Balloon Text Char"/>
    <w:link w:val="BalloonText"/>
    <w:rsid w:val="00F001D6"/>
    <w:rPr>
      <w:rFonts w:ascii="Tahoma" w:hAnsi="Tahoma" w:cs="Tahoma"/>
      <w:sz w:val="16"/>
      <w:szCs w:val="16"/>
      <w:lang w:val="en-US" w:eastAsia="en-US"/>
    </w:rPr>
  </w:style>
  <w:style w:type="paragraph" w:styleId="ListParagraph">
    <w:name w:val="List Paragraph"/>
    <w:basedOn w:val="Normal"/>
    <w:uiPriority w:val="34"/>
    <w:qFormat/>
    <w:rsid w:val="00D96AC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851845">
      <w:bodyDiv w:val="1"/>
      <w:marLeft w:val="0"/>
      <w:marRight w:val="0"/>
      <w:marTop w:val="0"/>
      <w:marBottom w:val="0"/>
      <w:divBdr>
        <w:top w:val="none" w:sz="0" w:space="0" w:color="auto"/>
        <w:left w:val="none" w:sz="0" w:space="0" w:color="auto"/>
        <w:bottom w:val="none" w:sz="0" w:space="0" w:color="auto"/>
        <w:right w:val="none" w:sz="0" w:space="0" w:color="auto"/>
      </w:divBdr>
    </w:div>
    <w:div w:id="559287181">
      <w:bodyDiv w:val="1"/>
      <w:marLeft w:val="0"/>
      <w:marRight w:val="0"/>
      <w:marTop w:val="0"/>
      <w:marBottom w:val="0"/>
      <w:divBdr>
        <w:top w:val="none" w:sz="0" w:space="0" w:color="auto"/>
        <w:left w:val="none" w:sz="0" w:space="0" w:color="auto"/>
        <w:bottom w:val="none" w:sz="0" w:space="0" w:color="auto"/>
        <w:right w:val="none" w:sz="0" w:space="0" w:color="auto"/>
      </w:divBdr>
    </w:div>
    <w:div w:id="167387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1812</Words>
  <Characters>10334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Chapter 1</vt:lpstr>
    </vt:vector>
  </TitlesOfParts>
  <Company>Federal Reserve System</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Valued Gateway Client</dc:creator>
  <cp:keywords/>
  <cp:lastModifiedBy>rachel stuckey</cp:lastModifiedBy>
  <cp:revision>3</cp:revision>
  <cp:lastPrinted>2016-11-11T09:29:00Z</cp:lastPrinted>
  <dcterms:created xsi:type="dcterms:W3CDTF">2019-08-07T02:51:00Z</dcterms:created>
  <dcterms:modified xsi:type="dcterms:W3CDTF">2019-08-07T03:12:00Z</dcterms:modified>
</cp:coreProperties>
</file>