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decision making is more limited than that of problem solving.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'stochastic' and 'deterministic' have the same meaning in quantitative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that results in marginal revenue equaling marginal cost is called the break-even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encompasses both the identification of a problem and the action to resolve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making process includes implementation and evaluation of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successful quantitative analysis will separate the analyst from the managerial team until after the problem is fully structured.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any model is that it enables the user to make inferences about the real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Uncontrollable inputs are the decision variables for 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feasible solution is the best solution possible for a mathematical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seeks to maximize profit subject to limited availability of man-hours. Man-hours is a controllable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Frederick Taylor is credited with forming the first MS/OR interdisciplinary teams in the 1940's.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To find the choice that provides the highest profit and the fewest employees, apply a single-criterion decision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critical component in determining the success or failure of any quantitative approach to decision making is problem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the decision making process is to identify the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All uncontrollable inputs or data must be specified before we can analyze the model and recommend a decision or solution for the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quantitative analysis, the optimal solution is the mathematically-best solution.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deciding to buy either machine A, B, or C with the objective of minimizing the sum of labor, material and utility costs, you are dealing with a single-criterion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 should be left to quantitative analysts; the model user's involvement should begin at the implementation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feasible solution is one that satisfies at least one of the constraints in the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toy train layout designed to represent an actual railyard is an example of an analog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management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concentrates on the use of quantitative methods to assist in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approaches decision making rationally, with techniques based on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decision science and for operations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 and definition of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done until alternatives are proposed.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first step of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final step of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consideration of multiple 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identified before decision criteria are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limited to quantitative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evaluated as a part of the problem definition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best generated by brain-storming.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choices faced by the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problems faced by the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ways to evaluate the choices faced by the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unique for a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multicriteria decision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select a single decision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maker must evaluate each alternative with respect to each criterion.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successive decisions must be made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quantitative analysis approach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manager's prior experience with a similar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relatively uncomplicated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expressions for the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model that does not have the same physical appearance as the object being modeled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analog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iconic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mathematical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qualitative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Inputs to a quantitative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trivial part of the problem solving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uncertain for a stochastic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uncontrollable for the decision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all be deterministic if the problem is to have a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value of the output cannot be determined even if the value of the controllable input is known, the model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stochastic.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that results in total revenue being equal to total cost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and operations research both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managerial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approaches to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research as opposed to 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Dantzig is important in the history of management science because he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management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War II operations research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simplex method for linear programming.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powerful digital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problem solving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the correct analytical solution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 of decision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identification of a difference between the actual and desired state of affairs.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specific objectives and operating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occur prior to the quantitative analysis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involve the analyst and the user of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that uses a system of symbols to represent a problem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commonly used names for the body of knowledge involving quantitative approaches to decision-making?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management revolution of the early 1900s was initiated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Lingo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​Herbert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​Frederic Taylor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Dantzig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variables of a model are also known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uncontrollable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controllable inputs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projected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model that has the same physical appearance as the object being modeled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analog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iconic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mathematical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deterministic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production volume exceeds the breakeven point, we can expected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fixed cost to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revenue to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snack food manufacturer buys corn for tortilla chips from two cooperatives, one in Iowa and one in Illinois. The price per unit of the Iowa corn is $6.00 and the price per unit of the Illinois corn is $5.50.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variables that would tell how many units to purchase from each source.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an objective function that would minimize the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manufacturer needs at least 12000 units of corn. The Iowa cooperative can supply up to 8000 units, and the Illinois cooperative can supply at least 6000 units. Develop constraints for these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3"/>
                    <w:gridCol w:w="7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units from Iowa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units from Illinois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Min 6x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+ 5.5x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x </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relationship d = 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25p describes what happens to demand (d) as price (p) varies. Here, price can vary between $10 and $50.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units can be sold at the $10 price? How many can be sold at the $50 price?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Model the expression for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prices of $20, $30, and $40. Which of these three price alternative will maximize total revenue? What are the values for demand and revenue at this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10, d = 4750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50, d = 3750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TR = p(5000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25p)</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20, d = 4500, TR = $90,000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30, d = 4250, TR = $127,500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40, d = 4000, TR = $160,000 (maximum total revenue)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fixed cost of $50,000 to start a production process. Once the process has begun, the variable cost per unit is $25. The revenue per unit is projected to be $45.</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profit.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break-even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3"/>
                    <w:gridCol w:w="7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50000 + 25x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R(x) = 45x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P(x) = 45x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 + 25x)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 = 2500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author has received an advance against royalties of $10,000. The royalty rate is $1.00 for every book sold in the United States, and $1.35 for every book sold outside the United States. Define variables for this problem and write an expression that could be used to calculate the number of books to be sold to cover the advance.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books sold in the 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books sold outside the 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 1x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+ 1.35x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university schedules summer school courses based on anticipated enrollment. The cost for faculty compensation, laboratories, student services, and allocated overhead for a computer class is $8500. If students pay $920 to enroll in the course, how large would enrollment have to be for the university to break even?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Enrollment would need to be 10 students.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As part of their application for a loan to buy Lakeside Farm, a property they hope to develop as a bed-and-breakfast operation, the prospective owners have projected: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Monthly fixed cost (loan payment, taxes, insurance, maintenance)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cost per occupied room per night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20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per occupied room per night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75</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the expression for total cost per month. Assume 30 days per month.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the expression for total revenue per month.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12 guest rooms available, can they break even? What percentage of rooms would need to be occupied, on average, to break 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6000 + 20(30)x     (monthly)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R(x) = 75(30)x     (monthly)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occupancy = 3.64 or 4 occupied rooms per night, so they have enough rooms to break even. This would be a 33% occupancy rate.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Organizers of an Internet training session will charge participants $150 to attend. It costs $3000 to reserve the room, hire the instructor, bring in the equipment, and advertise. Assume it costs $25 per student for the organizers to provide the course materials.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students would have to attend for the company to break even?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trainers think, realistically, that 20 people will attend, then what price should be charged per person for the organization to break 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3000 + 25x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R(x) = 150x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students = 24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 3000 + 25(20)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 20p</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price = 175</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this portion of an Excel spreadsheet, the user has given values for selling price, the costs, and a sample volume. Give the cell formula for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E12, break-even volume.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E16,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E17,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E19, profit (loss).</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00"/>
              <w:gridCol w:w="1170"/>
              <w:gridCol w:w="1170"/>
              <w:gridCol w:w="1170"/>
              <w:gridCol w:w="1170"/>
              <w:gridCol w:w="1343"/>
              <w:gridCol w:w="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170" w:type="dxa"/>
                  <w:tcBorders>
                    <w:top w:val="single" w:sz="6" w:space="0" w:color="00000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00000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00000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170" w:type="dxa"/>
                  <w:gridSpan w:val="4"/>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Break-even calculation</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price per unit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Fix cost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8400</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Variable cost per unit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volume</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calculation</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Volume</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revenue</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cost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c>
                <w:tcPr>
                  <w:tcW w:w="1170" w:type="dxa"/>
                  <w:tcBorders>
                    <w:top w:val="single" w:sz="6" w:space="0" w:color="C0C0C0"/>
                    <w:left w:val="single" w:sz="6" w:space="0" w:color="000000"/>
                    <w:bottom w:val="single" w:sz="6" w:space="0" w:color="00000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00000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Profit (loss)</w:t>
                  </w:r>
                </w:p>
              </w:tc>
              <w:tc>
                <w:tcPr>
                  <w:tcW w:w="1170" w:type="dxa"/>
                  <w:tcBorders>
                    <w:top w:val="single" w:sz="6" w:space="0" w:color="C0C0C0"/>
                    <w:left w:val="single" w:sz="6" w:space="0" w:color="C0C0C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=E9/(E6-E10)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=E15*E6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=E9+E10*E15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=E16-E17</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Spreadsheets for management science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store has set aside 800 square feet to display its sofas and chairs. Each sofa utilizes 50 sq. ft. and each chair utilizes 30 sq. ft. At least five sofas and at least five chairs are to be displayed.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434"/>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mathematical model representing the store's constraints.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profit on sofas is $200 and on chairs is $100. On a given day, the probability that a displayed sofa will be sold is .03 and that a displayed chair will be sold is .05. Mathematically model each of the following objectives: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total pieces of furniture displayed.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total expected number of daily sales.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total expected daily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50s + 30c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  Max s + 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  Max .03s + .05c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  Max 6s + 5c</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makes two products, doors and windows. Each must be processed through two work areas. Work area #1 has 60 hours of available production time per week. Work area #2 has 48 hours of available production time per week. Manufacturing of a door requires 4 hours in work area #1 and 2 hours in work area #2. Manufacturing of a window requires 2 hours in work area #1 and 4 hours in work area #2. Profit is $8 per door and $6 per window.</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decision variables that will tell how many units to build (doors and windows)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an objective function that will maximize total profit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shd w:val="clear" w:color="auto" w:fill="FFFFFF"/>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production constraints for work area #1 and #2.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D = the number of doors to build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N = the number of windows to build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Weekly Profit = 8D + 6W</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4D + 2W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2D + 4W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48</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builds galvanized swing sets.  The investment in plant and equipment is $200,000. The variable cost per swing set is $500. The selling price of the swing set is $1000. How many swing sets would have to be sold for the firm to break even?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swing sets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rework center has the capacity to rework 300 computers per day. The expected number of computers needing to be reworked per day is 225. The center is paid $26 for each computer reworked. The fixed cost of renting the reworking equipment is $250 per day. Work space rents for $150 per day. The cost of material is $18 per computer and labor costs $3 per computer. What is the break-even number of computers reworked per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a driver education school, organizers must decide how many cars, instructors, and students to have. Costs are estimated as follows. Annual fixed costs to operate the school are $30,000. The annual cost per car is $3000. The annual cost per instructor is $11,000 and one instructor is needed for each car. Tuition for each student is $350. Let x be the number of cars and y be the number of students.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profit.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offers the course eight times each year. Each time the course is offered, there are two sessions. If they decide to operate five cars, and if four students can be assigned to each car, will they break 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8"/>
                    <w:gridCol w:w="7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30000 + 14000x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R(y) = 350y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P(x,y) = 350y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 + 14000x)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Each car/instructor can serve up to (4 students/session)(2 sessions/course)(8 courses/year) = 64 students annually. Five cars can serve 320 students. If the classes are filled, then profit for five cars is 350(320)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 + 14000(5)) = 12000. So, the school can reach the break-even point.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Zipco Printing operates a shop that has five printing machines. The machines differ in their capacities to perform various printing operations due to differences in the machines' designs and operator skill levels. At the start of the workday there are five printing jobs to schedule. The manager must decide what the job-machine assignments should be.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could a quantitative approach to decision making be used to solve this problem?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uncontrollable inputs for which data must be collected?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decision variables, objective function, and constraints to appear in the mathematical model.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model deterministic or stochastic?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some simplifying assumptions for this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quantitative approach to decision making can provide a systematic way for deciding the job-machine pairings so that total job processing time is minimized.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long it takes to process each job on each machine, and any job-machine pairings that are unacceptable.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Decision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for each job-machine pairing, taking on a value of 1 if the pairing is used and 0 otherwise.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Objective 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minimize total job processing time.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Constraints: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each job is assigned to exactly one machine, and each machine be assigned no more than one job.</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Stochastic: job processing times vary due to varying machine set-up times, variable operator performance, and more.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processing times are deterministic (known/fixed).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a department store that must make weekly shipments of a certain product from two different warehouses to four different stores.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could a quantitative approach to decision making be used to solve this problem?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uncontrollable inputs for which data must be gathered?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decision variables of the mathematical model? the objective function? the constraints?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model deterministic or stochastic?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assumptions that could be made to simplify the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quantitative approach to decision making can provide a systematic way to determine a minimum shipping cost from the warehouses to the stores.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Fixed costs and variable shipping costs; the demand each week at each store; the supplies each week at each warehouse.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variables--how much to ship from each warehouse to each store; objective function--minimize total shipping costs; constraints--meet the demand at the stores without exceeding the supplies at the warehouses.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Stochastic--weekly demands fluctuate as do weekly supplies; transportation costs could vary depending upon the amount shipped, other goods sent with a shipment, etc.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 model deterministic by assuming fixed shipping costs per item, demand is constant at each store each week, and weekly supplies in the warehouses are constant.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production processes - A, B, and C - have the following cost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028"/>
              <w:gridCol w:w="2028"/>
              <w:gridCol w:w="2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594"/>
                <w:jc w:val="left"/>
              </w:trPr>
              <w:tc>
                <w:tcPr>
                  <w:tcW w:w="1812"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c>
                <w:tcPr>
                  <w:tcW w:w="1812"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Fixed Cost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 Year</w:t>
                  </w:r>
                </w:p>
              </w:tc>
              <w:tc>
                <w:tcPr>
                  <w:tcW w:w="1812"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Cost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 Unit</w:t>
                  </w:r>
                </w:p>
              </w:tc>
            </w:tr>
            <w:tr>
              <w:tblPrEx>
                <w:jc w:val="left"/>
                <w:tblCellMar>
                  <w:top w:w="0" w:type="dxa"/>
                  <w:left w:w="0" w:type="dxa"/>
                  <w:bottom w:w="0" w:type="dxa"/>
                  <w:right w:w="0" w:type="dxa"/>
                </w:tblCellMar>
              </w:tblPrEx>
              <w:trPr>
                <w:cantSplit w:val="0"/>
                <w:trHeight w:val="320"/>
                <w:jc w:val="left"/>
              </w:trPr>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trHeight w:val="320"/>
                <w:jc w:val="left"/>
              </w:trPr>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trHeight w:val="320"/>
                <w:jc w:val="left"/>
              </w:trPr>
              <w:tc>
                <w:tcPr>
                  <w:tcW w:w="1812"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812"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812"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195"/>
              <w:gridCol w:w="840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economical process for a volume of 8,000 units?</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units per year must be sold with each process to have annual profits of $50,000 if the selling price is $6.95 per unit?</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break-even volume for each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FC + VC(x)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$120,000 + $3.00(8,000) = $144,000 per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90,000 + $4.00(8,000) = $122,000 per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80,000 + $4.50(8,000) = $116,000 per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 has the lowest annual cost for a production volume of 8,000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(profit + FC)/(price - VC)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($50,000 + $120,000)/($6.95 - $3.00) = 43,038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($50,000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90,000)/($6.95 - $4.00) = 47,458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($50,000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80,000)/($6.95 - $4.50) = 53,062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A requires the lowest production volume for an annual profit of $50,000.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breakeven, profit (the pretax profits per period) is equal to zero.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 FC/(price - VC)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$120,000/ ($6.95 - $3.00) = 30,380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90,000/ ($6.95 - $4.00) = 30,509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80,000/ ($6.95 - $4.50) = 32,654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A has the lowest break-even quantity, while Process B’s is almost as 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Jane Persico, facility engineer at the El Paso plant of Computer Products Corporation (CPC), is studying a process selection decision at the plant. A new printer is to be manufactured and she must decide whether the printer will be auto-assembled or manually assembled. The decision is complicated by the fact that annual production volume is expected to increase by almost 50% over three years.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Jane has developed these estimates for two alternatives for the printer assembly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536"/>
              <w:gridCol w:w="1576"/>
              <w:gridCol w:w="1765"/>
              <w:gridCol w:w="1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927"/>
                <w:jc w:val="left"/>
              </w:trPr>
              <w:tc>
                <w:tcPr>
                  <w:tcW w:w="3384"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85"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Auto-</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c>
                <w:tcPr>
                  <w:tcW w:w="1566"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Manual</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fixed cost</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$690,000</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$269,000</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cost per product</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$29.56</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$31.69</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annual production</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 number of products):</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 1</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152,000</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152,000</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 2</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trHeight w:val="320"/>
                <w:jc w:val="left"/>
              </w:trPr>
              <w:tc>
                <w:tcPr>
                  <w:tcW w:w="3384"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85"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 3</w:t>
                  </w:r>
                </w:p>
              </w:tc>
              <w:tc>
                <w:tcPr>
                  <w:tcW w:w="1567"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c>
                <w:tcPr>
                  <w:tcW w:w="1566"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195"/>
              <w:gridCol w:w="840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production process would be the least-cost alternative in Years 1, 2, and 3?</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would the variable cost per unit have to be in Year 2 for the auto-assembly process to justify the additional annual fixed cost for the auto-assembly process over the manual assembly process?</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fixed cost + variable cost(x)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29.56(152,000)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$5,183,120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269,000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31.69(152,000)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$5,085,880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(least-cost alternative)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29.56(190,000)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$6,306,400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269,000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31.69(190,000)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$6,290,100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(least-cost alternative)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 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29.56(225,000)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$7,341,000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(least-cost alternative)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269,000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31.69(225,000)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$7,399,250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(190,000) = FC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690,000 + v(190,000) = 269,000 + 31.69(190,000)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(269,000 + 6,021,100 - 690,000)/190,000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$29.47</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(roughly a 0.3% reduction)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and volume models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Janice Smith is an expert at calligraphy. However, it is found that a specialized robot can imitate Janice's work perfectly. Variable costs are 75% of selling price and fixed costs are $190,000 for the robot system.</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How many pieces must be produced to break even assuming she sells each piece for $200?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How many pieces must be produced to break even if she sells them for $250 and variable costs drop to 70% of selling price?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$200X = $190,000 + (.75)($200)X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--&gt;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($50)X = $190,000 --&gt;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X = 3,800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$250X = $190,000 + (.70)($250)X --&gt;  ($75)X = $190,000 --&gt; X = 2, 533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and volume models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the problem solving process be applied to all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quantitative and qualitative analysis from the manager's point of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relationship among model development, model accuracy, and the ability to obtain a solution from 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three of the management science techniques that practitioners use most frequently? How can the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of these applications be increased?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Methods used most frequently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steps of the problem solving process are involved in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three benefits of model development and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relationship between information systems specialists and quantitative analysts in the solution of large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preparation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contrast the terms feasible solution, infeasible solution and optimal solution.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three forms of models and provide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controllable and uncontrollable inputs to a mathematical model and provide an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cp:revision>0</cp:revision>
</cp:coreProperties>
</file>