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2%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Medicare component of the FICA tax (1.45%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gasoline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corporate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the individual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 is often used to try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may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a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$15,000,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a majority of states allow a deduction for Federal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may offer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IRS audits are producing a higher number of </w:t>
            </w:r>
            <w:r>
              <w:rPr>
                <w:rStyle w:val="DefaultParagraphFont"/>
                <w:rFonts w:ascii="Times New Roman" w:eastAsia="Times New Roman" w:hAnsi="Times New Roman" w:cs="Times New Roman"/>
                <w:b w:val="0"/>
                <w:bCs w:val="0"/>
                <w:i/>
                <w:iCs/>
                <w:smallCaps w:val="0"/>
                <w:color w:val="000000"/>
                <w:sz w:val="22"/>
                <w:szCs w:val="22"/>
                <w:bdr w:val="nil"/>
                <w:rtl w:val="0"/>
              </w:rPr>
              <w:t>no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results, this indicates increased compliance on the part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amount of a taxpayer’s itemized deductions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 the chance of being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office audit by the IRS takes place at the office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IRS agent auditing the return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issue an RAR even if the taxpayer owes no additional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special agent becomes involved in the audit of a return, this indicates that the IRS suspects that fraud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files early (i.e., before the due date of the return), the statute of limitations on assessments begins on the date the return is filed.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 omissions from gross income in excess of 25% of that reported, there is no statute of limitations on additional income tax assessments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income tax return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filed by a taxpayer, there is no statute of limitations on assessments of tax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there is no time limit on the assessment of a deficiency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 is required to redetermine the interest rate on underpayments and overpayments once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calendar year taxpayer files his 2019 Federal income tax return on March 4, 2020. The return reflects an overpayment of $6,000, and the taxpayer requests a refund of this amount. The refund is paid on May 16, 2020. The refund need not include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individual taxpayers, the interest rate for income tax refunds (overpayments)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same as that applicable to assessments (underpayments).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any month in which both the failure to file penalty and the failure to pay penalty apply, the failure to file penalty is </w:t>
            </w:r>
            <w:r>
              <w:rPr>
                <w:rStyle w:val="DefaultParagraphFont"/>
                <w:rFonts w:ascii="Times New Roman" w:eastAsia="Times New Roman" w:hAnsi="Times New Roman" w:cs="Times New Roman"/>
                <w:b w:val="0"/>
                <w:bCs w:val="0"/>
                <w:i/>
                <w:iCs/>
                <w:smallCaps w:val="0"/>
                <w:color w:val="000000"/>
                <w:sz w:val="22"/>
                <w:szCs w:val="22"/>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amount of the 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interest is charged on a deficiency, any part of a month counts as a full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negligence penalty to apply, the underpayment must be caused by intentional disregard of rules and regulations without intent to defraud.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Upon audit by the IRS, Faith is assessed a deficiency of $40,000 of which $25,000 is attributable to negligence. The 20% negligence penalty will apply to $25,000.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 deficiency is attributable to fraud, the negligence penalty will not be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civil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fraud penalty can entail large fines and possible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 client refuses to correct an error on a past return, it may be possible for a practitioner to continue to prepare returns for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preparing an income tax return, the use of a client’s estimates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a tax return, all questions on the return must be answered.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firm in California sends many of its less complex tax returns to be prepared by a group of accountants in India. If certain procedures are followed, this outsourcing of tax return preparation is proper.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of excess charitable contributions of a particular year </w:t>
            </w:r>
            <w:r>
              <w:rPr>
                <w:rStyle w:val="DefaultParagraphFont"/>
                <w:rFonts w:ascii="Times New Roman" w:eastAsia="Times New Roman" w:hAnsi="Times New Roman" w:cs="Times New Roman"/>
                <w:b w:val="0"/>
                <w:bCs w:val="0"/>
                <w:i w:val="0"/>
                <w:iCs w:val="0"/>
                <w:smallCaps w:val="0"/>
                <w:color w:val="000000"/>
                <w:sz w:val="22"/>
                <w:szCs w:val="22"/>
                <w:bdr w:val="nil"/>
                <w:rtl w:val="0"/>
              </w:rPr>
              <w:t>to other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Because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consistent with the wherewithal to pay concept, the tax law requires a seller to recognize a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IRS audits are handled by correspondence.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Sally’s neighbor often brags that his employer often pays him in cash “off the books” to save him taxes. Sally is tired of hearing this and contacts the IRS to report the neighbor. If this tip results in taxes collected by the IRS, Sally will likely receive an award of a portion of the tax and penalties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will not exist if there is only a single (flat) tax rate for the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Adam Smith’s canons (principles) of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of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regressive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but not 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They want to make gifts to their four children in 2020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but not to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tax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proposed </w:t>
            </w:r>
            <w:r>
              <w:rPr>
                <w:rStyle w:val="DefaultParagraphFont"/>
                <w:rFonts w:ascii="Times New Roman" w:eastAsia="Times New Roman" w:hAnsi="Times New Roman" w:cs="Times New Roman"/>
                <w:b w:val="0"/>
                <w:bCs w:val="0"/>
                <w:i/>
                <w:iCs/>
                <w:smallCaps w:val="0"/>
                <w:color w:val="000000"/>
                <w:sz w:val="22"/>
                <w:szCs w:val="22"/>
                <w:bdr w:val="nil"/>
                <w:rtl w:val="0"/>
              </w:rPr>
              <w:t>flat tax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increase the number of deductions available to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require individuals to file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tax the increment in value as goods move through the production and manufacturing stages to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type of consumption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the “fair tax” (i.e., national sales tax) include which, if any,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the Federal individual (but not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but retention of payroll taxes (including the self-employment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and payroll taxes but retention of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and payroll taxes as well as the Federal estate and gift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probability, which of the following taxpayers would be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owns and operates a check-cashing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is an employed electrician.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received a $3 million personal injury award as a result of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won a $1 million slot machine jackpot at a Las Vegas casino.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audit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 audits involve “special”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taxpayers are less likely to be selected for audit than employed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issues are handled by means of a correspondence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disagrees with the IRS auditor’s finding, the only resort is to 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files his tax return 45 days after the due date. Along with the return, David remits a check for $40,000. which is the balance of the tax owed. Disregarding the interest element, David’s total failure to file and to pay penalties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the fraud penalties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negligence and civil fraud apply to a deficiency, the negligence penalty predominates.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criminal fraud can result in a fine and a prison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criminal fraud penalty is 75% of the deficiency attributable to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IRS has the same burden of proof in the case of criminal fraud as with civil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proper ethical accounting guidelines, which, if any,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client estimates in preparing a return may be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 should a question on a tax return be left unanswered.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client has made a mistake in a prior year’s return and refuses to correct it, the accountant should withdraw from the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exact amount of a deduction is not certain (e.g., around mid-$600s), it </w:t>
                  </w:r>
                  <w:r>
                    <w:rPr>
                      <w:rStyle w:val="DefaultParagraphFont"/>
                      <w:rFonts w:ascii="Times New Roman" w:eastAsia="Times New Roman" w:hAnsi="Times New Roman" w:cs="Times New Roman"/>
                      <w:b w:val="0"/>
                      <w:bCs w:val="0"/>
                      <w:i/>
                      <w:iCs/>
                      <w:smallCaps w:val="0"/>
                      <w:color w:val="000000"/>
                      <w:sz w:val="22"/>
                      <w:szCs w:val="22"/>
                      <w:bdr w:val="nil"/>
                      <w:rtl w:val="0"/>
                    </w:rPr>
                    <w:t>should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recorded as an odd amount (i.e., $649) so as to increase the appearance of greater certainty.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tax credit for certain solar energy property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helping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 government policy to use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proposing that the state’s sales tax be expanded to include food, a legislator should ask whether: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tax agency will allow this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majority of his constituents agree.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Grocery stores will be able to collect the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constitution allows for this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the tax director for Tangent Software Corporation. She is unsure whether Tangent is required to charge sales tax when software is provided to customers in State X via the “cloud.” This indicates that the sales tax does not meet the principle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and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Two years ago, State Y enacted a new income tax credit for college prep materials. The credit is available to individuals and is equal to 40% of the cost of the items. The credit may not exceed $50 in any year. State Y's director of finance has discovered this year that the amount of credit claimed is far higher than expected. Which principle of good tax policy might not have been considered in designing this tax that caused the original cost estimate to be too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tax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value added tax (VAT)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use a VAT.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imposed a VAT since 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has been proposed in the United States to replace part of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operates similarly to a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quote engraved on the IRS building in Washington, DC, at the entrance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is certain, except death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what we pay for civilized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welcome.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the most difficult thing in the world to understand.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Tax functions that accounting and finance professionals may assist clients with include all but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management to ensure timely payment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taxes is paid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rationale for the installment sale method tax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AICPA Statements on Standards for Tax Services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is avoided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sunset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special tax rules for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of limitations.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rate brackets for inflation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 of gains from involuntary conversions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Carryforward of net operating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is a possible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tax applied to a visiting nonresident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special agent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Undoing the “piggyback”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budget goal as to new tax legislation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that has a general sales tax has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all states and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some states but not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only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temporarily working in another state for two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Decoupling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Index Function (DIF)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Tax fraud suspected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Agent's Report (RAR)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Mitigation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Tax on transfers at death (inheritance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Excise tax on tobacco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amnesty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taxes (customs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“Pay as you go” (paygo)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following choices,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interest on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date return is filed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due date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IRS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taxpayer’s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45-day grace period allowed to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statute of limitations (period remains open)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Negligence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filing and statute of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Late filing and statute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No return and statute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gross income omission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due on refund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2020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$255,000 [$15,000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tax y</w:t>
            </w:r>
            <w:r>
              <w:rPr>
                <w:rStyle w:val="DefaultParagraphFont"/>
                <w:rFonts w:ascii="Times New Roman" w:eastAsia="Times New Roman" w:hAnsi="Times New Roman" w:cs="Times New Roman"/>
                <w:b w:val="0"/>
                <w:bCs w:val="0"/>
                <w:i w:val="0"/>
                <w:iCs w:val="0"/>
                <w:smallCaps w:val="0"/>
                <w:color w:val="000000"/>
                <w:sz w:val="22"/>
                <w:szCs w:val="22"/>
                <w:bdr w:val="nil"/>
                <w:rtl w:val="0"/>
              </w:rPr>
              <w:t>ear 2019,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Noah reported gross income of $300,000 on his timely filed Federal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Presuming that the general rule applies, when does the statute of limitations on assessments normally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Noah inadvertently omitted gross income of $76,000. When does the statute of limitations on assessments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omission was deliberate, not inadvertent. When does the statute of limitations on assessments expire?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722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A</w:t>
                        </w:r>
                        <w:r>
                          <w:rPr>
                            <w:rStyle w:val="DefaultParagraphFont"/>
                            <w:rFonts w:ascii="Times New Roman" w:eastAsia="Times New Roman" w:hAnsi="Times New Roman" w:cs="Times New Roman"/>
                            <w:b w:val="0"/>
                            <w:bCs w:val="0"/>
                            <w:i w:val="0"/>
                            <w:iCs w:val="0"/>
                            <w:smallCaps w:val="0"/>
                            <w:color w:val="000000"/>
                            <w:sz w:val="22"/>
                            <w:szCs w:val="22"/>
                            <w:bdr w:val="nil"/>
                            <w:rtl w:val="0"/>
                          </w:rPr>
                          <w:t>pril 15, 2020.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than 25% of gross income is omitted, a six-year statute applies (i.e., six years from April </w:t>
                        </w:r>
                        <w:r>
                          <w:rPr>
                            <w:rStyle w:val="DefaultParagraphFont"/>
                            <w:rFonts w:ascii="Times New Roman" w:eastAsia="Times New Roman" w:hAnsi="Times New Roman" w:cs="Times New Roman"/>
                            <w:b w:val="0"/>
                            <w:bCs w:val="0"/>
                            <w:i w:val="0"/>
                            <w:iCs w:val="0"/>
                            <w:smallCaps w:val="0"/>
                            <w:color w:val="000000"/>
                            <w:sz w:val="22"/>
                            <w:szCs w:val="22"/>
                            <w:bdr w:val="nil"/>
                            <w:rtl w:val="0"/>
                          </w:rPr>
                          <w:t>15, 2020). In this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 does because $76,000 is more than $75,000 (25%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 statute never expires.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obtaining an extension, Pam files her income tax return 55 days after the due date. With her return, she pays an additional tax of $60,000. Disregarding any interest element, what is Pam’s penalty for failure to pay and to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Disregarding the interest element, Pam’s total penalties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40" w:type="dxa"/>
                    <w:jc w:val="left"/>
                    <w:tblBorders>
                      <w:top w:val="nil"/>
                      <w:left w:val="nil"/>
                      <w:bottom w:val="nil"/>
                      <w:right w:val="nil"/>
                      <w:insideH w:val="nil"/>
                      <w:insideV w:val="nil"/>
                    </w:tblBorders>
                    <w:tblCellMar>
                      <w:top w:w="0" w:type="dxa"/>
                      <w:left w:w="0" w:type="dxa"/>
                      <w:bottom w:w="0" w:type="dxa"/>
                      <w:right w:w="0" w:type="dxa"/>
                    </w:tblCellMar>
                  </w:tblPr>
                  <w:tblGrid>
                    <w:gridCol w:w="671"/>
                    <w:gridCol w:w="4607"/>
                    <w:gridCol w:w="909"/>
                    <w:gridCol w:w="953"/>
                  </w:tblGrid>
                  <w:tr>
                    <w:tblPrEx>
                      <w:tblW w:w="71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 for same period</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5,400</w:t>
                        </w:r>
                      </w:p>
                    </w:tc>
                  </w:tr>
                  <w:tr>
                    <w:tblPrEx>
                      <w:tblW w:w="7140" w:type="dxa"/>
                      <w:jc w:val="left"/>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$6,000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his 2020 income tax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return, Andrew omitted income and overstated deductions to the extent that his income tax was understated by $500,000. Disregarding any interest element, what is Andrew’s penalty if the understatement was due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Negligence.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fraud.</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$100,000 (20%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$375,000 (75%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fines and/or prison sentence.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2020,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because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she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1989, Roy leased real estate to Drab Corporation for 20 years. Drab Corporation made significant capital improvements to the property. In 2008, Drab decided not to renew the lease and vacated the property. At that time, the value of the improvements was $800,000. Roy sells the real estate in 2020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2020).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Adam Smith’s canons of taxation, how do state sales taxes fare as far as </w:t>
            </w:r>
            <w:r>
              <w:rPr>
                <w:rStyle w:val="DefaultParagraphFont"/>
                <w:rFonts w:ascii="Times New Roman" w:eastAsia="Times New Roman" w:hAnsi="Times New Roman" w:cs="Times New Roman"/>
                <w:b w:val="0"/>
                <w:bCs w:val="0"/>
                <w:i/>
                <w:iCs/>
                <w:smallCaps w:val="0"/>
                <w:color w:val="000000"/>
                <w:sz w:val="22"/>
                <w:szCs w:val="22"/>
                <w:bdr w:val="nil"/>
                <w:rtl w:val="0"/>
              </w:rPr>
              <w:t>convenience of payment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sales tax is owed at the time of purchase, the taxpayer is able to determine if they can afford to pay the tax and it is collected at that time rather than say, for example, at the end of the buyer's tax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population change,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issues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2018, Deborah became 65 years old. In 2019 she added a swimming pool and in 2020 she converted the residence to rental property and moved into an assisted living facility. Since 2017,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2018 when Deborah reached age 65. The increases probably occurred in 2019 when she added the pool and in 2020 when the residence was converted to rental property with the property reassessed due to the change in use and/or removal of the homestead exemption.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3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 of state is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pay use tax on out of state purchases.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4"/>
              <w:gridCol w:w="8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will bring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and states impose inheritance taxes. Some states impose both, whereas others impose 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Logan dies with an estate worth $20 million. Under his will, $10 million passes to his wife and $10 million goes to his church. What is Logan’s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Logan’s taxable estate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cause an individual to owe income taxes in more than one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more than one state or owning income-generating property in more than one state can cause this.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0"/>
                    <w:gridCol w:w="7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regarding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Internet site, the taxing authority posts the names of those taxpayers that are delinquent as to various taxes (e.g., sales, income). This public humiliation (or threat of) very often results in 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In late Jun</w:t>
            </w:r>
            <w:r>
              <w:rPr>
                <w:rStyle w:val="DefaultParagraphFont"/>
                <w:rFonts w:ascii="Times New Roman" w:eastAsia="Times New Roman" w:hAnsi="Times New Roman" w:cs="Times New Roman"/>
                <w:b w:val="0"/>
                <w:bCs w:val="0"/>
                <w:i w:val="0"/>
                <w:iCs w:val="0"/>
                <w:smallCaps w:val="0"/>
                <w:color w:val="000000"/>
                <w:sz w:val="22"/>
                <w:szCs w:val="22"/>
                <w:bdr w:val="nil"/>
                <w:rtl w:val="0"/>
              </w:rPr>
              <w:t>e 2020, Ar</w:t>
            </w:r>
            <w:r>
              <w:rPr>
                <w:rStyle w:val="DefaultParagraphFont"/>
                <w:rFonts w:ascii="Times New Roman" w:eastAsia="Times New Roman" w:hAnsi="Times New Roman" w:cs="Times New Roman"/>
                <w:b w:val="0"/>
                <w:bCs w:val="0"/>
                <w:i w:val="0"/>
                <w:iCs w:val="0"/>
                <w:smallCaps w:val="0"/>
                <w:color w:val="000000"/>
                <w:sz w:val="22"/>
                <w:szCs w:val="22"/>
                <w:bdr w:val="nil"/>
                <w:rtl w:val="0"/>
              </w:rPr>
              <w:t>t is audited by the state and a large deficiency is assessed. In November of the same year, his Federal income tax return is audited by the IRS. What has probably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been notified by the state concerning the results of the June audit.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after the burglary of his personal residence, Eric is audited by the IRS. Among the items taken in the burglary was a shoe box containing approximately $50,000 in cash. Eric is the owner and operator of a cash-and-carry liquor store. Eric wonders why he was audited. Can you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Eric’s audit by the IRS could be the result of sheer chance, this appears unlikely. Press coverage of the burglary, particularly if the items stolen were enumerated, could have put the IRS on notice. Why would anyone keep such a large amount of cash at his personal residence? Also, Eric is in a business where tax evasion is easily accomplished.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Rick, the sole proprietor of an adult entertainment club, is audited by the IRS. On the third day of the field audit, the regular IRS agent is accompanied by a special agent. Should Rick be concerned by this new development?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he should. Special agents rarely appear during an audit unless the regular agent suspects that fraud may be involved. Considering the type of business Rick conducts, the heavy use of cash probably exists. With cash involved, tax evasion is easier to carry out.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has just been audited and the IRS agent has issued an RAR that assesses a large deficiency. Since Tracy disagrees with the result, her next step is to go to court. Do you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Tracy might save herself time and expense by going to the Appeals Division of the IRS. Here, the IRS has the authority to negotiate a settlement based on the “hazards of litigation” (i.e., the probabilities of winning or losing). If a settlement is reached, resorting to the courts is avoided.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files his Federal income tax return by April 15 but does not pay the tax. Although he expects to pay interest on the large amount of tax he still owes, he feels that the timely filing has avoided any penalties. Is Brayden’s assumption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Brayden has avoided the failure to file penalty, the failure to pay penalty will apply. It is 0.5% per month up to a maximum of 25% of the tax due as shown on the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Melinda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referred to you by one of your clients. In the past, she has prepared her own income tax returns, but she has become overwhelmed by the increased complexity of the tax law. Consequently, Melinda wants you to prepare her return for calendar year 2020. In reviewing her 2019 return, you note that she has claimed as a deduction the entire cost of a business building that should have been capitalized and depreciated. What course of action should you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recommend to Melinda that an amended return be filed for 2019 correcting the error. If she refuses, you should assess the gravity of the error and how it impacts on your ability to file an accurate return for 2020. If you cannot do so, then you must decline the engagement.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Connie, won $12,000 in a football office pool. She sees no reason to include it in her income for several reasons. First, the amount won will not be reported to the IRS. Second, as an average income employee, she is unlikely to be audited by the IRS. Third, she feels that she has probably lost this much in other past office pools.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practitioner, you cannot play the audit lottery. You must presume that she will be audited regardless of the probabilities. Although the use of estimates is allowed, Connie’s assumptions as to her losses are not realistic. Even if they were reliable, gambling losses cannot be offset against gambling winnings but must be separately deducted. Thus, the $12,000 must be reported as income or you cannot prepare Connie’s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is it permissible, from an ethical standpoint, for a CPA firm to outsource tax return preparation to a third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clients’ confidentiality must be preserved. Second, the CPA firm must verify the accuracy of the work. Third, the clients must be advised as to the 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10"/>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are the justification. As to the latter, a better educated workforce carries a positive economic impact.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1"/>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a loss carryforward, the losses would disappear. As shown by Example 26, this result places a business with profit and loss fluctuations on a more level playing field with one that maintains a stable income pattern.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  in Federally declared disaster areas.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reduces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taxpayer start the three-year statute of limitations on additional assessments by the IRS by filing his income tax return early (i.e., before the due date)? Can the period be shortened by filing late (i.e., after the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answer is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both cases. When filing early, the statute starts to run on the due date of the return. When filing late however, the filing date controls.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Congressman Smith wants to impose a new tax on sugar drinks. Analyze this proposal against the principles of equity, simplicity, and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 The tax is regressive in that it will represent a larger portion of a low-income individual’s income relative to a higher-income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Simplicity – While it sounds simple because the ingredients on a container should indicate if there is sugar, issues might arise as to how other forms of sugar, such as corn syrup, affect application of the tax. Also, the amount of sugar in beverages can vary, so some might argue that the tax should not apply if the sugar level is minimal. Will the tax apply to drinks already subject to the alcohol taxes? (Include some discussion of problems of defining sugar drink in the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 – The tax will likely reduce sales of sugar drinks.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 Explain what this means in terms of income and payroll taxes paid by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pays many types of taxes, but like any other expenditure, some of these taxes are ultimately paid by an individual. Income taxes are included in the price the corporation charges for goods and services. Or all or part might result in reduced earnings affecting investors or through reduced wages affecting employees. The payroll taxes paid by the corporate employer are likely borne by workers in the form of lower wages. That is, if the employer did not have to pay the taxes, it could pay higher wages to employees. These taxes might also be borne by customers and investors.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An IntroductIon To TaxatIon and UnderstandIng The Federal Tax Law</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An IntroductIon To TaxatIon and UnderstandIng The Federal Tax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