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2D27" w14:textId="77777777" w:rsidR="00BF3984" w:rsidRPr="00790DDC" w:rsidRDefault="00BF3984" w:rsidP="00790DDC">
      <w:pPr>
        <w:pStyle w:val="Heading1"/>
        <w:ind w:left="-720"/>
        <w:rPr>
          <w:rFonts w:ascii="Franklin Gothic Book" w:hAnsi="Franklin Gothic Book"/>
          <w:b/>
          <w:i w:val="0"/>
          <w:sz w:val="36"/>
        </w:rPr>
      </w:pPr>
      <w:r w:rsidRPr="00790DDC">
        <w:rPr>
          <w:rFonts w:ascii="Franklin Gothic Book" w:hAnsi="Franklin Gothic Book"/>
          <w:b/>
          <w:i w:val="0"/>
          <w:sz w:val="36"/>
        </w:rPr>
        <w:t>Chapter 1</w:t>
      </w:r>
      <w:r w:rsidR="00E8618C" w:rsidRPr="00790DDC">
        <w:rPr>
          <w:rFonts w:ascii="Franklin Gothic Book" w:hAnsi="Franklin Gothic Book"/>
          <w:b/>
          <w:i w:val="0"/>
          <w:sz w:val="36"/>
        </w:rPr>
        <w:t xml:space="preserve">: The </w:t>
      </w:r>
      <w:r w:rsidR="00DF5F25">
        <w:rPr>
          <w:rFonts w:ascii="Franklin Gothic Book" w:hAnsi="Franklin Gothic Book"/>
          <w:b/>
          <w:i w:val="0"/>
          <w:sz w:val="36"/>
        </w:rPr>
        <w:t>Framework for</w:t>
      </w:r>
      <w:r w:rsidR="00E8618C" w:rsidRPr="00790DDC">
        <w:rPr>
          <w:rFonts w:ascii="Franklin Gothic Book" w:hAnsi="Franklin Gothic Book"/>
          <w:b/>
          <w:i w:val="0"/>
          <w:sz w:val="36"/>
        </w:rPr>
        <w:t xml:space="preserve"> Financial Reporting</w:t>
      </w:r>
    </w:p>
    <w:p w14:paraId="33E6320C" w14:textId="77777777" w:rsidR="00790DDC" w:rsidRDefault="00BF3984">
      <w:pPr>
        <w:tabs>
          <w:tab w:val="left" w:pos="240"/>
        </w:tabs>
      </w:pPr>
      <w:r>
        <w:tab/>
      </w:r>
      <w:r>
        <w:tab/>
      </w:r>
      <w:r>
        <w:tab/>
      </w:r>
      <w:r>
        <w:tab/>
      </w:r>
      <w:r>
        <w:tab/>
      </w:r>
      <w:r>
        <w:tab/>
      </w:r>
      <w:r>
        <w:tab/>
      </w:r>
      <w:r>
        <w:tab/>
      </w:r>
      <w:r>
        <w:tab/>
      </w:r>
      <w:r>
        <w:tab/>
      </w:r>
    </w:p>
    <w:p w14:paraId="211ABA06" w14:textId="77777777" w:rsidR="00790DDC" w:rsidRDefault="00790DDC">
      <w:pPr>
        <w:tabs>
          <w:tab w:val="left" w:pos="240"/>
        </w:tabs>
      </w:pPr>
    </w:p>
    <w:p w14:paraId="195F2C7B" w14:textId="77777777" w:rsidR="001124C4" w:rsidRDefault="00BF3984" w:rsidP="00FA1A1C">
      <w:pPr>
        <w:pStyle w:val="Contents"/>
        <w:tabs>
          <w:tab w:val="clear" w:pos="1200"/>
          <w:tab w:val="left" w:pos="1530"/>
        </w:tabs>
      </w:pPr>
      <w:r>
        <w:t>Case  1-1</w:t>
      </w:r>
      <w:r>
        <w:tab/>
      </w:r>
      <w:r>
        <w:tab/>
      </w:r>
      <w:r w:rsidR="0052512A">
        <w:t>Mulla and Yang</w:t>
      </w:r>
    </w:p>
    <w:p w14:paraId="733A3C47" w14:textId="77777777" w:rsidR="00BF3984" w:rsidRDefault="000310BF" w:rsidP="00FA1A1C">
      <w:pPr>
        <w:pStyle w:val="Contents"/>
        <w:tabs>
          <w:tab w:val="clear" w:pos="1200"/>
          <w:tab w:val="left" w:pos="1530"/>
        </w:tabs>
      </w:pPr>
      <w:r>
        <w:t xml:space="preserve">          1-2</w:t>
      </w:r>
      <w:r w:rsidR="001124C4">
        <w:tab/>
      </w:r>
      <w:r w:rsidR="001124C4">
        <w:tab/>
      </w:r>
      <w:r w:rsidR="00D4108B">
        <w:t xml:space="preserve">Richard </w:t>
      </w:r>
      <w:r w:rsidR="002F2760">
        <w:t>W</w:t>
      </w:r>
      <w:r w:rsidR="00D4108B">
        <w:t>right</w:t>
      </w:r>
    </w:p>
    <w:p w14:paraId="1C276894" w14:textId="77777777" w:rsidR="007F6273" w:rsidRDefault="00687490">
      <w:pPr>
        <w:pStyle w:val="Contents"/>
      </w:pPr>
      <w:r>
        <w:t xml:space="preserve">     </w:t>
      </w:r>
      <w:r w:rsidR="001A3F2B">
        <w:t xml:space="preserve"> </w:t>
      </w:r>
      <w:r>
        <w:t xml:space="preserve">  </w:t>
      </w:r>
      <w:r w:rsidR="007F6273">
        <w:t xml:space="preserve">  </w:t>
      </w:r>
      <w:r w:rsidR="000310BF">
        <w:t>1-3</w:t>
      </w:r>
      <w:r w:rsidR="007F6273">
        <w:tab/>
      </w:r>
      <w:r w:rsidR="007F6273">
        <w:tab/>
      </w:r>
      <w:r w:rsidR="002F2760">
        <w:t>Taylor Jay</w:t>
      </w:r>
    </w:p>
    <w:p w14:paraId="2EE3C81D" w14:textId="77777777" w:rsidR="00BF3984" w:rsidRDefault="00687490" w:rsidP="000310BF">
      <w:pPr>
        <w:pStyle w:val="Contents"/>
      </w:pPr>
      <w:r>
        <w:t xml:space="preserve">     </w:t>
      </w:r>
      <w:r w:rsidR="001A3F2B">
        <w:t xml:space="preserve"> </w:t>
      </w:r>
      <w:r>
        <w:t xml:space="preserve">  </w:t>
      </w:r>
      <w:r w:rsidR="00BF3984">
        <w:t xml:space="preserve">  </w:t>
      </w:r>
      <w:r w:rsidR="00BF3984">
        <w:tab/>
      </w:r>
      <w:r w:rsidR="00BF3984">
        <w:tab/>
      </w:r>
    </w:p>
    <w:p w14:paraId="7380CBE9" w14:textId="77777777" w:rsidR="00D4108B" w:rsidRDefault="00D4108B" w:rsidP="00D4108B">
      <w:pPr>
        <w:tabs>
          <w:tab w:val="left" w:pos="240"/>
        </w:tabs>
      </w:pPr>
      <w:r>
        <w:tab/>
      </w:r>
      <w:r>
        <w:tab/>
      </w:r>
      <w:r>
        <w:tab/>
      </w:r>
      <w:r>
        <w:tab/>
      </w:r>
      <w:r>
        <w:tab/>
      </w:r>
      <w:r>
        <w:tab/>
      </w:r>
      <w:r>
        <w:tab/>
      </w:r>
      <w:r>
        <w:tab/>
      </w:r>
      <w:r>
        <w:tab/>
      </w:r>
      <w:r>
        <w:tab/>
        <w:t>Suggested Time</w:t>
      </w:r>
    </w:p>
    <w:p w14:paraId="2F1B9F82" w14:textId="77777777" w:rsidR="00DF5F25" w:rsidRDefault="00DF5F25" w:rsidP="00DF5F25">
      <w:pPr>
        <w:pStyle w:val="Contents"/>
        <w:keepNext w:val="0"/>
        <w:tabs>
          <w:tab w:val="clear" w:pos="6600"/>
          <w:tab w:val="right" w:leader="dot" w:pos="6720"/>
        </w:tabs>
      </w:pPr>
      <w:r>
        <w:t>Technical</w:t>
      </w:r>
      <w:r>
        <w:tab/>
      </w:r>
      <w:r w:rsidR="000310BF">
        <w:t>1</w:t>
      </w:r>
      <w:r>
        <w:t>-1</w:t>
      </w:r>
      <w:r>
        <w:tab/>
        <w:t>Chapter overview, true-false</w:t>
      </w:r>
      <w:r>
        <w:tab/>
      </w:r>
      <w:r w:rsidR="00A47052">
        <w:tab/>
      </w:r>
      <w:r>
        <w:t>10</w:t>
      </w:r>
    </w:p>
    <w:p w14:paraId="51C30D6D" w14:textId="77777777" w:rsidR="00DF5F25" w:rsidRDefault="00DF5F25" w:rsidP="00DF5F25">
      <w:pPr>
        <w:pStyle w:val="Contents"/>
        <w:tabs>
          <w:tab w:val="right" w:leader="dot" w:pos="6720"/>
        </w:tabs>
      </w:pPr>
      <w:r>
        <w:tab/>
      </w:r>
      <w:r w:rsidR="000310BF">
        <w:t>1</w:t>
      </w:r>
      <w:r>
        <w:t>-2</w:t>
      </w:r>
      <w:r>
        <w:tab/>
        <w:t>Chapter overview, true-false</w:t>
      </w:r>
      <w:r>
        <w:tab/>
      </w:r>
      <w:r w:rsidR="00A47052">
        <w:tab/>
      </w:r>
      <w:r>
        <w:tab/>
        <w:t>10</w:t>
      </w:r>
    </w:p>
    <w:p w14:paraId="42E6E836" w14:textId="77777777" w:rsidR="000310BF" w:rsidRDefault="000310BF" w:rsidP="00DF5F25">
      <w:pPr>
        <w:pStyle w:val="Contents"/>
        <w:tabs>
          <w:tab w:val="right" w:leader="dot" w:pos="6720"/>
        </w:tabs>
      </w:pPr>
      <w:r>
        <w:tab/>
        <w:t>1-3</w:t>
      </w:r>
      <w:r>
        <w:tab/>
        <w:t>Acronyms………………………………………</w:t>
      </w:r>
      <w:r>
        <w:tab/>
        <w:t>10</w:t>
      </w:r>
    </w:p>
    <w:p w14:paraId="2F6742C0" w14:textId="77777777" w:rsidR="00FB3B28" w:rsidRDefault="00FB3B28" w:rsidP="00DF5F25">
      <w:pPr>
        <w:pStyle w:val="Contents"/>
        <w:tabs>
          <w:tab w:val="right" w:leader="dot" w:pos="6720"/>
        </w:tabs>
      </w:pPr>
      <w:r>
        <w:tab/>
        <w:t>1-4</w:t>
      </w:r>
      <w:r>
        <w:tab/>
        <w:t>IFRS or ASPE………………………………….</w:t>
      </w:r>
      <w:r>
        <w:tab/>
        <w:t>10</w:t>
      </w:r>
    </w:p>
    <w:p w14:paraId="27787F24" w14:textId="77777777" w:rsidR="00FB3B28" w:rsidRDefault="00FB3B28" w:rsidP="00DF5F25">
      <w:pPr>
        <w:pStyle w:val="Contents"/>
        <w:tabs>
          <w:tab w:val="right" w:leader="dot" w:pos="6720"/>
        </w:tabs>
      </w:pPr>
      <w:r>
        <w:tab/>
        <w:t>1-5</w:t>
      </w:r>
      <w:r>
        <w:tab/>
        <w:t>IFRS or ASPE………………………………….</w:t>
      </w:r>
      <w:r>
        <w:tab/>
        <w:t>10</w:t>
      </w:r>
    </w:p>
    <w:p w14:paraId="54B2552E" w14:textId="77777777" w:rsidR="00FB3B28" w:rsidRDefault="00FB3B28" w:rsidP="00DF5F25">
      <w:pPr>
        <w:pStyle w:val="Contents"/>
        <w:tabs>
          <w:tab w:val="right" w:leader="dot" w:pos="6720"/>
        </w:tabs>
      </w:pPr>
      <w:r>
        <w:tab/>
        <w:t>1-6</w:t>
      </w:r>
      <w:r>
        <w:tab/>
        <w:t>Disclosed basis of accounting…………………</w:t>
      </w:r>
      <w:r>
        <w:tab/>
      </w:r>
      <w:r>
        <w:tab/>
        <w:t>10</w:t>
      </w:r>
    </w:p>
    <w:p w14:paraId="587A9C07" w14:textId="77777777" w:rsidR="00FB3B28" w:rsidRDefault="00DF5F25" w:rsidP="00DF5F25">
      <w:pPr>
        <w:pStyle w:val="Contents"/>
        <w:tabs>
          <w:tab w:val="right" w:leader="dot" w:pos="6720"/>
        </w:tabs>
      </w:pPr>
      <w:r>
        <w:tab/>
      </w:r>
      <w:r w:rsidR="00FB3B28">
        <w:t>1</w:t>
      </w:r>
      <w:r>
        <w:t>-</w:t>
      </w:r>
      <w:r w:rsidR="00FB3B28">
        <w:t>7</w:t>
      </w:r>
      <w:r>
        <w:tab/>
        <w:t>GAAP and reporting currency</w:t>
      </w:r>
      <w:r>
        <w:tab/>
      </w:r>
      <w:r>
        <w:tab/>
      </w:r>
      <w:r>
        <w:tab/>
        <w:t>10</w:t>
      </w:r>
    </w:p>
    <w:p w14:paraId="72C09BF8" w14:textId="77777777" w:rsidR="00DF5F25" w:rsidRDefault="00FB3B28" w:rsidP="00DF5F25">
      <w:pPr>
        <w:pStyle w:val="Contents"/>
        <w:tabs>
          <w:tab w:val="right" w:leader="dot" w:pos="6720"/>
        </w:tabs>
      </w:pPr>
      <w:r>
        <w:tab/>
        <w:t>1-8</w:t>
      </w:r>
      <w:r>
        <w:tab/>
        <w:t>GAAP and reporting currency</w:t>
      </w:r>
      <w:r w:rsidR="00DF5F25">
        <w:tab/>
      </w:r>
      <w:r>
        <w:tab/>
      </w:r>
      <w:r>
        <w:tab/>
        <w:t>10</w:t>
      </w:r>
    </w:p>
    <w:p w14:paraId="622C7AB8" w14:textId="77777777" w:rsidR="00FB3B28" w:rsidRDefault="00FB3B28" w:rsidP="00DF5F25">
      <w:pPr>
        <w:pStyle w:val="Contents"/>
        <w:tabs>
          <w:tab w:val="right" w:leader="dot" w:pos="6720"/>
        </w:tabs>
      </w:pPr>
      <w:r>
        <w:tab/>
        <w:t>1-9</w:t>
      </w:r>
      <w:r>
        <w:tab/>
        <w:t>Users and objectives…………………………..</w:t>
      </w:r>
      <w:r>
        <w:tab/>
      </w:r>
      <w:r>
        <w:tab/>
        <w:t>10</w:t>
      </w:r>
    </w:p>
    <w:p w14:paraId="5F6CC7F9" w14:textId="77777777" w:rsidR="00DF5F25" w:rsidRDefault="00DF5F25" w:rsidP="00DF5F25">
      <w:pPr>
        <w:pStyle w:val="Contents"/>
        <w:tabs>
          <w:tab w:val="right" w:leader="dot" w:pos="6720"/>
        </w:tabs>
      </w:pPr>
      <w:r>
        <w:tab/>
      </w:r>
      <w:r w:rsidR="00FB3B28">
        <w:t>1</w:t>
      </w:r>
      <w:r>
        <w:t>-</w:t>
      </w:r>
      <w:r w:rsidR="00FB3B28">
        <w:t>10</w:t>
      </w:r>
      <w:r w:rsidR="00FB3B28">
        <w:tab/>
        <w:t>Required financial statements</w:t>
      </w:r>
      <w:r>
        <w:tab/>
      </w:r>
      <w:r>
        <w:tab/>
      </w:r>
      <w:r>
        <w:tab/>
        <w:t>10</w:t>
      </w:r>
    </w:p>
    <w:p w14:paraId="6B408135" w14:textId="77777777" w:rsidR="00DF5F25" w:rsidRDefault="00DF5F25" w:rsidP="00DF5F25">
      <w:pPr>
        <w:pStyle w:val="Contents"/>
        <w:tabs>
          <w:tab w:val="right" w:leader="dot" w:pos="6720"/>
        </w:tabs>
      </w:pPr>
    </w:p>
    <w:p w14:paraId="24A9C1B8" w14:textId="77777777" w:rsidR="00BF3984" w:rsidRDefault="00BF3984">
      <w:pPr>
        <w:pStyle w:val="Contents"/>
      </w:pPr>
      <w:r>
        <w:t>Assignment</w:t>
      </w:r>
      <w:r>
        <w:tab/>
        <w:t>1-1</w:t>
      </w:r>
      <w:r>
        <w:tab/>
      </w:r>
      <w:r w:rsidR="00DF5F25">
        <w:t>IASB standard-setting</w:t>
      </w:r>
      <w:r>
        <w:tab/>
      </w:r>
      <w:r>
        <w:tab/>
        <w:t>10</w:t>
      </w:r>
    </w:p>
    <w:p w14:paraId="1F79863D" w14:textId="77777777" w:rsidR="00BF3984" w:rsidRDefault="00BF3984">
      <w:pPr>
        <w:pStyle w:val="Contents"/>
      </w:pPr>
      <w:r>
        <w:tab/>
        <w:t>1-2</w:t>
      </w:r>
      <w:r>
        <w:tab/>
      </w:r>
      <w:r w:rsidR="00DF5F25">
        <w:t>International comparisons</w:t>
      </w:r>
      <w:r>
        <w:tab/>
      </w:r>
      <w:r>
        <w:tab/>
        <w:t>10</w:t>
      </w:r>
    </w:p>
    <w:p w14:paraId="141F9633" w14:textId="77777777" w:rsidR="00BF3984" w:rsidRDefault="00DC3ADC">
      <w:pPr>
        <w:pStyle w:val="Contents"/>
      </w:pPr>
      <w:r>
        <w:tab/>
        <w:t>1-3</w:t>
      </w:r>
      <w:r>
        <w:tab/>
      </w:r>
      <w:r w:rsidR="00DF5F25">
        <w:t>Accounting choices</w:t>
      </w:r>
      <w:r>
        <w:tab/>
      </w:r>
      <w:r>
        <w:tab/>
        <w:t>10</w:t>
      </w:r>
    </w:p>
    <w:p w14:paraId="1AD1D34F" w14:textId="77777777" w:rsidR="00BF3984" w:rsidRDefault="00BF3984">
      <w:pPr>
        <w:pStyle w:val="Contents"/>
      </w:pPr>
      <w:r>
        <w:tab/>
        <w:t>1-4</w:t>
      </w:r>
      <w:r>
        <w:tab/>
      </w:r>
      <w:r w:rsidR="00687040">
        <w:t xml:space="preserve">Effect of accounting policies </w:t>
      </w:r>
      <w:r w:rsidR="00A00303">
        <w:tab/>
      </w:r>
      <w:r w:rsidR="00687040">
        <w:tab/>
        <w:t>1</w:t>
      </w:r>
      <w:r>
        <w:t>5</w:t>
      </w:r>
    </w:p>
    <w:p w14:paraId="7EA43AB0" w14:textId="77777777" w:rsidR="00BF3984" w:rsidRDefault="00DC3ADC">
      <w:pPr>
        <w:pStyle w:val="Contents"/>
      </w:pPr>
      <w:r>
        <w:tab/>
        <w:t>1-5</w:t>
      </w:r>
      <w:r>
        <w:tab/>
      </w:r>
      <w:r w:rsidR="00687040">
        <w:t>Reporting alternatives</w:t>
      </w:r>
      <w:r>
        <w:tab/>
      </w:r>
      <w:r>
        <w:tab/>
        <w:t>10</w:t>
      </w:r>
    </w:p>
    <w:p w14:paraId="7D6C6C97" w14:textId="77777777" w:rsidR="00BF3984" w:rsidRDefault="00612FDF">
      <w:pPr>
        <w:pStyle w:val="Contents"/>
      </w:pPr>
      <w:r>
        <w:tab/>
        <w:t>1-6</w:t>
      </w:r>
      <w:r w:rsidR="00EB636E">
        <w:tab/>
      </w:r>
      <w:r w:rsidR="00687040">
        <w:t xml:space="preserve">Non-IFRS situations </w:t>
      </w:r>
      <w:r w:rsidR="00BF3984">
        <w:t>.</w:t>
      </w:r>
      <w:r w:rsidR="00BF3984">
        <w:tab/>
      </w:r>
      <w:r w:rsidR="00BF3984">
        <w:tab/>
        <w:t>15</w:t>
      </w:r>
    </w:p>
    <w:p w14:paraId="438EEA65" w14:textId="77777777" w:rsidR="007F6273" w:rsidRDefault="007F6273" w:rsidP="007F6273">
      <w:pPr>
        <w:pStyle w:val="Contents"/>
      </w:pPr>
      <w:r>
        <w:tab/>
      </w:r>
      <w:r w:rsidR="00DC3ADC">
        <w:t>1-7</w:t>
      </w:r>
      <w:r w:rsidR="00EB636E">
        <w:tab/>
      </w:r>
      <w:r w:rsidR="00687040">
        <w:t>Reporting situations</w:t>
      </w:r>
      <w:r w:rsidR="00EB636E">
        <w:tab/>
      </w:r>
      <w:r w:rsidR="00EB636E">
        <w:tab/>
      </w:r>
      <w:r w:rsidR="00687040">
        <w:t>2</w:t>
      </w:r>
      <w:r w:rsidR="004B7AA9">
        <w:t>0</w:t>
      </w:r>
    </w:p>
    <w:p w14:paraId="5CC3032D" w14:textId="77777777" w:rsidR="00DC3ADC" w:rsidRDefault="00DC3ADC" w:rsidP="00DC3ADC">
      <w:pPr>
        <w:pStyle w:val="Contents"/>
      </w:pPr>
      <w:r>
        <w:tab/>
        <w:t>1-8</w:t>
      </w:r>
      <w:r>
        <w:tab/>
      </w:r>
      <w:r w:rsidR="00687040">
        <w:t>Reporting situations</w:t>
      </w:r>
      <w:r>
        <w:tab/>
      </w:r>
      <w:r>
        <w:tab/>
        <w:t>15</w:t>
      </w:r>
    </w:p>
    <w:p w14:paraId="405DB10F" w14:textId="77777777" w:rsidR="00EB636E" w:rsidRDefault="00DC3ADC" w:rsidP="00EB636E">
      <w:pPr>
        <w:pStyle w:val="Contents"/>
      </w:pPr>
      <w:r>
        <w:tab/>
        <w:t>1-9</w:t>
      </w:r>
      <w:r>
        <w:tab/>
      </w:r>
      <w:r w:rsidR="00687040">
        <w:t>Objectives of financial reporting</w:t>
      </w:r>
      <w:r>
        <w:tab/>
      </w:r>
      <w:r>
        <w:tab/>
      </w:r>
      <w:r w:rsidR="003E1585">
        <w:t>20</w:t>
      </w:r>
    </w:p>
    <w:p w14:paraId="655E72E0" w14:textId="77777777" w:rsidR="003E1585" w:rsidRDefault="003E1585" w:rsidP="00EB636E">
      <w:pPr>
        <w:pStyle w:val="Contents"/>
      </w:pPr>
      <w:r>
        <w:tab/>
        <w:t>1-10</w:t>
      </w:r>
      <w:r>
        <w:tab/>
      </w:r>
      <w:r w:rsidR="00687040">
        <w:t>Impact of differing objectives</w:t>
      </w:r>
      <w:r w:rsidR="00DE333F">
        <w:t xml:space="preserve"> </w:t>
      </w:r>
      <w:r>
        <w:tab/>
      </w:r>
      <w:r>
        <w:tab/>
      </w:r>
      <w:r w:rsidR="00687040">
        <w:t>20</w:t>
      </w:r>
    </w:p>
    <w:p w14:paraId="7369E0D3" w14:textId="77777777" w:rsidR="00BF3984" w:rsidRDefault="007F6273">
      <w:pPr>
        <w:pStyle w:val="Contents"/>
      </w:pPr>
      <w:r>
        <w:tab/>
      </w:r>
      <w:r w:rsidR="00BF3984">
        <w:t>1-</w:t>
      </w:r>
      <w:r w:rsidR="00612FDF">
        <w:t>11</w:t>
      </w:r>
      <w:r w:rsidR="00BF3984">
        <w:tab/>
      </w:r>
      <w:r w:rsidR="00687040">
        <w:t>Accounting policy disagreement</w:t>
      </w:r>
      <w:r w:rsidR="00BF3984">
        <w:tab/>
      </w:r>
      <w:r w:rsidR="00BF3984">
        <w:tab/>
      </w:r>
      <w:r w:rsidR="00687040">
        <w:t>15</w:t>
      </w:r>
    </w:p>
    <w:p w14:paraId="3FE2FC9B" w14:textId="77777777" w:rsidR="00DC3ADC" w:rsidRDefault="00DC3ADC" w:rsidP="00DC3ADC">
      <w:pPr>
        <w:pStyle w:val="Contents"/>
      </w:pPr>
      <w:r>
        <w:tab/>
        <w:t>1-12</w:t>
      </w:r>
      <w:r>
        <w:tab/>
      </w:r>
      <w:r w:rsidR="00687040">
        <w:t>Accounting policies and reporting objectives</w:t>
      </w:r>
      <w:r w:rsidR="00687040">
        <w:tab/>
      </w:r>
      <w:r w:rsidR="00687040">
        <w:tab/>
        <w:t>1</w:t>
      </w:r>
      <w:r>
        <w:t>0</w:t>
      </w:r>
    </w:p>
    <w:p w14:paraId="0201AD30" w14:textId="77777777" w:rsidR="00BF3984" w:rsidRDefault="00074369">
      <w:pPr>
        <w:pStyle w:val="Contents"/>
      </w:pPr>
      <w:r>
        <w:tab/>
      </w:r>
      <w:r w:rsidR="00EB636E">
        <w:t>1-13</w:t>
      </w:r>
      <w:r w:rsidR="00EB636E">
        <w:tab/>
      </w:r>
      <w:r w:rsidR="00687040">
        <w:t>Policy choice</w:t>
      </w:r>
      <w:r w:rsidR="00EB636E">
        <w:tab/>
      </w:r>
      <w:r w:rsidR="004B7AA9">
        <w:tab/>
      </w:r>
      <w:r w:rsidR="009F0B44">
        <w:t>20</w:t>
      </w:r>
    </w:p>
    <w:p w14:paraId="4E64C434" w14:textId="32F16BA7" w:rsidR="001E2441" w:rsidRDefault="001E2441" w:rsidP="001E2441">
      <w:pPr>
        <w:pStyle w:val="Contents"/>
      </w:pPr>
      <w:r>
        <w:tab/>
        <w:t>1-14</w:t>
      </w:r>
      <w:r>
        <w:tab/>
        <w:t>Policy choice</w:t>
      </w:r>
      <w:r>
        <w:tab/>
      </w:r>
      <w:r>
        <w:tab/>
        <w:t>20</w:t>
      </w:r>
    </w:p>
    <w:p w14:paraId="155DCCFA" w14:textId="77777777" w:rsidR="00BF3984" w:rsidRDefault="00BF3984" w:rsidP="00A47052">
      <w:pPr>
        <w:pStyle w:val="Contents"/>
      </w:pPr>
    </w:p>
    <w:p w14:paraId="4A8D51B0" w14:textId="77777777" w:rsidR="00BF3984" w:rsidRDefault="00BF3984">
      <w:pPr>
        <w:pStyle w:val="Contents"/>
      </w:pPr>
      <w:r>
        <w:tab/>
      </w:r>
    </w:p>
    <w:p w14:paraId="2A83A6A1" w14:textId="77777777" w:rsidR="00BF3984" w:rsidRPr="00790DDC" w:rsidRDefault="00BF3984" w:rsidP="00C64FC7">
      <w:pPr>
        <w:pStyle w:val="Heading4"/>
        <w:ind w:hanging="154"/>
        <w:rPr>
          <w:rFonts w:ascii="Franklin Gothic Book" w:hAnsi="Franklin Gothic Book"/>
          <w:b w:val="0"/>
        </w:rPr>
      </w:pPr>
      <w:r>
        <w:br w:type="page"/>
      </w:r>
      <w:r w:rsidRPr="00790DDC">
        <w:rPr>
          <w:rFonts w:ascii="Franklin Gothic Book" w:hAnsi="Franklin Gothic Book"/>
          <w:b w:val="0"/>
        </w:rPr>
        <w:lastRenderedPageBreak/>
        <w:t>Cases</w:t>
      </w:r>
    </w:p>
    <w:p w14:paraId="179C323A" w14:textId="77777777" w:rsidR="00BF3984" w:rsidRDefault="00BF3984">
      <w:pPr>
        <w:tabs>
          <w:tab w:val="left" w:pos="440"/>
        </w:tabs>
        <w:ind w:left="440" w:hanging="440"/>
        <w:rPr>
          <w:b/>
          <w:sz w:val="28"/>
        </w:rPr>
      </w:pPr>
    </w:p>
    <w:p w14:paraId="5E3F9656" w14:textId="17BA2CBA" w:rsidR="00C64FC7" w:rsidRDefault="00C64FC7" w:rsidP="00C64FC7">
      <w:pPr>
        <w:tabs>
          <w:tab w:val="left" w:pos="440"/>
        </w:tabs>
        <w:ind w:left="440" w:hanging="440"/>
        <w:rPr>
          <w:szCs w:val="24"/>
        </w:rPr>
      </w:pPr>
      <w:r w:rsidRPr="00A47052">
        <w:rPr>
          <w:b/>
          <w:szCs w:val="24"/>
        </w:rPr>
        <w:t>Case 1-1</w:t>
      </w:r>
      <w:r w:rsidR="004F7292">
        <w:rPr>
          <w:b/>
          <w:szCs w:val="24"/>
        </w:rPr>
        <w:t xml:space="preserve"> (</w:t>
      </w:r>
      <w:r w:rsidR="004F7292">
        <w:t>LO1.2, LO1.3, LO1.4)</w:t>
      </w:r>
    </w:p>
    <w:p w14:paraId="48775515" w14:textId="77777777" w:rsidR="00C64FC7" w:rsidRDefault="00C64FC7" w:rsidP="00C64FC7">
      <w:pPr>
        <w:tabs>
          <w:tab w:val="left" w:pos="440"/>
        </w:tabs>
        <w:ind w:left="440" w:hanging="440"/>
        <w:rPr>
          <w:szCs w:val="24"/>
        </w:rPr>
      </w:pPr>
    </w:p>
    <w:p w14:paraId="2507D96D" w14:textId="77777777" w:rsidR="00C64FC7" w:rsidRDefault="00C64FC7" w:rsidP="00C64FC7">
      <w:pPr>
        <w:tabs>
          <w:tab w:val="left" w:pos="440"/>
        </w:tabs>
        <w:ind w:left="440" w:hanging="440"/>
        <w:rPr>
          <w:szCs w:val="24"/>
        </w:rPr>
      </w:pPr>
      <w:r>
        <w:rPr>
          <w:szCs w:val="24"/>
        </w:rPr>
        <w:t xml:space="preserve">Notes for Discussion With </w:t>
      </w:r>
      <w:r w:rsidR="0052512A">
        <w:rPr>
          <w:szCs w:val="24"/>
        </w:rPr>
        <w:t>Elicia</w:t>
      </w:r>
      <w:r>
        <w:rPr>
          <w:szCs w:val="24"/>
        </w:rPr>
        <w:t>:</w:t>
      </w:r>
    </w:p>
    <w:p w14:paraId="392CF96C" w14:textId="77777777" w:rsidR="00C64FC7" w:rsidRDefault="00C64FC7" w:rsidP="00C64FC7">
      <w:pPr>
        <w:tabs>
          <w:tab w:val="left" w:pos="440"/>
        </w:tabs>
        <w:ind w:left="440" w:hanging="440"/>
        <w:rPr>
          <w:szCs w:val="24"/>
        </w:rPr>
      </w:pPr>
    </w:p>
    <w:p w14:paraId="0D698160" w14:textId="77777777" w:rsidR="004F3D01" w:rsidRDefault="00C64FC7" w:rsidP="00C64FC7">
      <w:pPr>
        <w:rPr>
          <w:szCs w:val="24"/>
        </w:rPr>
      </w:pPr>
      <w:r>
        <w:rPr>
          <w:szCs w:val="24"/>
        </w:rPr>
        <w:t xml:space="preserve">There is a conflict of interest between the objectives of </w:t>
      </w:r>
      <w:r w:rsidR="0052512A">
        <w:rPr>
          <w:szCs w:val="24"/>
        </w:rPr>
        <w:t>Elicia</w:t>
      </w:r>
      <w:r>
        <w:rPr>
          <w:szCs w:val="24"/>
        </w:rPr>
        <w:t xml:space="preserve"> and </w:t>
      </w:r>
      <w:r w:rsidR="0052512A">
        <w:rPr>
          <w:szCs w:val="24"/>
        </w:rPr>
        <w:t>Dabika</w:t>
      </w:r>
      <w:r>
        <w:rPr>
          <w:szCs w:val="24"/>
        </w:rPr>
        <w:t xml:space="preserve"> due to the</w:t>
      </w:r>
      <w:r w:rsidR="000E4B22">
        <w:rPr>
          <w:szCs w:val="24"/>
        </w:rPr>
        <w:t xml:space="preserve"> buyout clause in the</w:t>
      </w:r>
      <w:r>
        <w:rPr>
          <w:szCs w:val="24"/>
        </w:rPr>
        <w:t xml:space="preserve"> shareholder agreement. </w:t>
      </w:r>
      <w:r w:rsidR="0052512A">
        <w:rPr>
          <w:szCs w:val="24"/>
        </w:rPr>
        <w:t>Elicia</w:t>
      </w:r>
      <w:r>
        <w:rPr>
          <w:szCs w:val="24"/>
        </w:rPr>
        <w:t xml:space="preserve"> will have a motivation to decrease shareholders</w:t>
      </w:r>
      <w:r w:rsidR="00DE333F">
        <w:rPr>
          <w:szCs w:val="24"/>
        </w:rPr>
        <w:t>’</w:t>
      </w:r>
      <w:r>
        <w:rPr>
          <w:szCs w:val="24"/>
        </w:rPr>
        <w:t xml:space="preserve"> equity since this will reduce the amount that she will be required to pay to buy out </w:t>
      </w:r>
      <w:r w:rsidR="0052512A">
        <w:rPr>
          <w:szCs w:val="24"/>
        </w:rPr>
        <w:t>Dabika</w:t>
      </w:r>
      <w:r>
        <w:rPr>
          <w:szCs w:val="24"/>
        </w:rPr>
        <w:t xml:space="preserve">. </w:t>
      </w:r>
      <w:r w:rsidR="0052512A">
        <w:rPr>
          <w:szCs w:val="24"/>
        </w:rPr>
        <w:t>Dabika</w:t>
      </w:r>
      <w:r>
        <w:rPr>
          <w:szCs w:val="24"/>
        </w:rPr>
        <w:t xml:space="preserve"> will be interested in increasing shareholders</w:t>
      </w:r>
      <w:r w:rsidR="00DE333F">
        <w:rPr>
          <w:szCs w:val="24"/>
        </w:rPr>
        <w:t>’</w:t>
      </w:r>
      <w:r>
        <w:rPr>
          <w:szCs w:val="24"/>
        </w:rPr>
        <w:t xml:space="preserve"> equity to increase the amount </w:t>
      </w:r>
      <w:r w:rsidR="000E4B22">
        <w:rPr>
          <w:szCs w:val="24"/>
        </w:rPr>
        <w:t>s</w:t>
      </w:r>
      <w:r>
        <w:rPr>
          <w:szCs w:val="24"/>
        </w:rPr>
        <w:t xml:space="preserve">he will receive. It must be clarified who I am working for since I may have a conflict of interest since I know both parties. </w:t>
      </w:r>
    </w:p>
    <w:p w14:paraId="2394EAE3" w14:textId="77777777" w:rsidR="004F3D01" w:rsidRDefault="004F3D01" w:rsidP="00C64FC7">
      <w:pPr>
        <w:rPr>
          <w:szCs w:val="24"/>
        </w:rPr>
      </w:pPr>
    </w:p>
    <w:p w14:paraId="2303C3FC" w14:textId="77777777" w:rsidR="000E4B22" w:rsidRDefault="00C64FC7" w:rsidP="00C64FC7">
      <w:pPr>
        <w:rPr>
          <w:szCs w:val="24"/>
        </w:rPr>
      </w:pPr>
      <w:r>
        <w:rPr>
          <w:szCs w:val="24"/>
        </w:rPr>
        <w:t>It is important that all accounting policies are ‘fair’</w:t>
      </w:r>
      <w:r w:rsidR="004F3D01">
        <w:rPr>
          <w:szCs w:val="24"/>
        </w:rPr>
        <w:t xml:space="preserve"> to both sides. What is considered ‘fair’? </w:t>
      </w:r>
      <w:r w:rsidR="000E4B22">
        <w:rPr>
          <w:szCs w:val="24"/>
        </w:rPr>
        <w:t xml:space="preserve">From Dabika’s perspective, fair </w:t>
      </w:r>
      <w:r w:rsidR="00875543">
        <w:rPr>
          <w:szCs w:val="24"/>
        </w:rPr>
        <w:t>could be accou</w:t>
      </w:r>
      <w:r w:rsidR="00DE333F">
        <w:rPr>
          <w:szCs w:val="24"/>
        </w:rPr>
        <w:t>n</w:t>
      </w:r>
      <w:r w:rsidR="00875543">
        <w:rPr>
          <w:szCs w:val="24"/>
        </w:rPr>
        <w:t xml:space="preserve">ting policies </w:t>
      </w:r>
      <w:r w:rsidR="000E4B22">
        <w:rPr>
          <w:szCs w:val="24"/>
        </w:rPr>
        <w:t>consistent with prior years</w:t>
      </w:r>
      <w:r w:rsidR="00875543">
        <w:rPr>
          <w:szCs w:val="24"/>
        </w:rPr>
        <w:t xml:space="preserve">. </w:t>
      </w:r>
      <w:r w:rsidR="000E4B22">
        <w:rPr>
          <w:szCs w:val="24"/>
        </w:rPr>
        <w:t>From Elicia’s perspective, f</w:t>
      </w:r>
      <w:r w:rsidR="00875543">
        <w:rPr>
          <w:szCs w:val="24"/>
        </w:rPr>
        <w:t>air could be if the economic events change the accounting policy would change. Fair could be both sides split the difference</w:t>
      </w:r>
      <w:r w:rsidR="000E4B22">
        <w:rPr>
          <w:szCs w:val="24"/>
        </w:rPr>
        <w:t xml:space="preserve"> where Dabika and Elicia disagree on value</w:t>
      </w:r>
      <w:r w:rsidR="00875543">
        <w:rPr>
          <w:szCs w:val="24"/>
        </w:rPr>
        <w:t xml:space="preserve">. In the future it is important that the shareholders agreement is more specific. </w:t>
      </w:r>
    </w:p>
    <w:p w14:paraId="628252E4" w14:textId="77777777" w:rsidR="000E4B22" w:rsidRDefault="000E4B22" w:rsidP="00C64FC7">
      <w:pPr>
        <w:rPr>
          <w:szCs w:val="24"/>
        </w:rPr>
      </w:pPr>
    </w:p>
    <w:p w14:paraId="3CB2E572" w14:textId="77777777" w:rsidR="00C64FC7" w:rsidRDefault="00875543" w:rsidP="00C64FC7">
      <w:pPr>
        <w:rPr>
          <w:szCs w:val="24"/>
        </w:rPr>
      </w:pPr>
      <w:r>
        <w:rPr>
          <w:szCs w:val="24"/>
        </w:rPr>
        <w:t>Due to the choices allowed within GAAP a policy could be selected that would be more beneficial to one of the parties.</w:t>
      </w:r>
      <w:r w:rsidR="00296B15">
        <w:rPr>
          <w:szCs w:val="24"/>
        </w:rPr>
        <w:t xml:space="preserve"> It is assumed since this is a small private company that they are using ASPE. There is no indication that </w:t>
      </w:r>
      <w:r w:rsidR="000E4B22">
        <w:rPr>
          <w:szCs w:val="24"/>
        </w:rPr>
        <w:t xml:space="preserve">neither Elicia or Dabika would be using IFRS nor that the bank requires it. </w:t>
      </w:r>
    </w:p>
    <w:p w14:paraId="3619207B" w14:textId="77777777" w:rsidR="00875543" w:rsidRDefault="00875543" w:rsidP="00C64FC7">
      <w:pPr>
        <w:rPr>
          <w:szCs w:val="24"/>
        </w:rPr>
      </w:pPr>
    </w:p>
    <w:p w14:paraId="7CFFCEE5" w14:textId="77777777" w:rsidR="00875543" w:rsidRDefault="00296B15" w:rsidP="00C64FC7">
      <w:pPr>
        <w:rPr>
          <w:i/>
          <w:szCs w:val="24"/>
        </w:rPr>
      </w:pPr>
      <w:r>
        <w:rPr>
          <w:i/>
          <w:szCs w:val="24"/>
        </w:rPr>
        <w:t>Inventory</w:t>
      </w:r>
    </w:p>
    <w:p w14:paraId="7CB11A94" w14:textId="77777777" w:rsidR="00296B15" w:rsidRDefault="0052512A" w:rsidP="00C64FC7">
      <w:pPr>
        <w:rPr>
          <w:szCs w:val="24"/>
        </w:rPr>
      </w:pPr>
      <w:r>
        <w:rPr>
          <w:szCs w:val="24"/>
        </w:rPr>
        <w:t>Elicia</w:t>
      </w:r>
      <w:r w:rsidR="00296B15">
        <w:rPr>
          <w:szCs w:val="24"/>
        </w:rPr>
        <w:t xml:space="preserve"> wants to write off the inventory value for the garden gnomes and statues</w:t>
      </w:r>
      <w:r w:rsidR="005F1625">
        <w:rPr>
          <w:szCs w:val="24"/>
        </w:rPr>
        <w:t xml:space="preserve"> and</w:t>
      </w:r>
      <w:r w:rsidR="00296B15">
        <w:rPr>
          <w:szCs w:val="24"/>
        </w:rPr>
        <w:t xml:space="preserve"> this will decrease the amount of </w:t>
      </w:r>
      <w:r>
        <w:rPr>
          <w:szCs w:val="24"/>
        </w:rPr>
        <w:t xml:space="preserve">the </w:t>
      </w:r>
      <w:r w:rsidR="00296B15">
        <w:rPr>
          <w:szCs w:val="24"/>
        </w:rPr>
        <w:t xml:space="preserve">payment to </w:t>
      </w:r>
      <w:r>
        <w:rPr>
          <w:szCs w:val="24"/>
        </w:rPr>
        <w:t>Dabika</w:t>
      </w:r>
      <w:r w:rsidR="00296B15">
        <w:rPr>
          <w:szCs w:val="24"/>
        </w:rPr>
        <w:t>. According to ASPE</w:t>
      </w:r>
      <w:r w:rsidR="003B799C">
        <w:rPr>
          <w:szCs w:val="24"/>
        </w:rPr>
        <w:t>,</w:t>
      </w:r>
      <w:r w:rsidR="00296B15">
        <w:rPr>
          <w:szCs w:val="24"/>
        </w:rPr>
        <w:t xml:space="preserve"> inventory would be valued at the lower of cost and net realizable value. Even though this inventory ha</w:t>
      </w:r>
      <w:r w:rsidR="005F1625">
        <w:rPr>
          <w:szCs w:val="24"/>
        </w:rPr>
        <w:t>s</w:t>
      </w:r>
      <w:r w:rsidR="00296B15">
        <w:rPr>
          <w:szCs w:val="24"/>
        </w:rPr>
        <w:t xml:space="preserve"> been sitting in the gardening centre there is still a few being sold each year. This indicates there is still some value </w:t>
      </w:r>
      <w:r w:rsidR="003B799C">
        <w:rPr>
          <w:szCs w:val="24"/>
        </w:rPr>
        <w:t xml:space="preserve">associated with the inventory </w:t>
      </w:r>
      <w:r w:rsidR="00296B15">
        <w:rPr>
          <w:szCs w:val="24"/>
        </w:rPr>
        <w:t xml:space="preserve">and </w:t>
      </w:r>
      <w:r w:rsidR="003B799C">
        <w:rPr>
          <w:szCs w:val="24"/>
        </w:rPr>
        <w:t xml:space="preserve">therefore it </w:t>
      </w:r>
      <w:r w:rsidR="00296B15">
        <w:rPr>
          <w:szCs w:val="24"/>
        </w:rPr>
        <w:t xml:space="preserve">should not be written </w:t>
      </w:r>
      <w:r w:rsidR="003B799C">
        <w:rPr>
          <w:szCs w:val="24"/>
        </w:rPr>
        <w:t xml:space="preserve">down </w:t>
      </w:r>
      <w:r w:rsidR="00296B15">
        <w:rPr>
          <w:szCs w:val="24"/>
        </w:rPr>
        <w:t xml:space="preserve">to zero. It should be determined what the net realizable value of this inventory is to determine the amount of the write off. If it is all written off and then sold at a later date this would not be fair to </w:t>
      </w:r>
      <w:r>
        <w:rPr>
          <w:szCs w:val="24"/>
        </w:rPr>
        <w:t>Dabika</w:t>
      </w:r>
      <w:r w:rsidR="00296B15">
        <w:rPr>
          <w:szCs w:val="24"/>
        </w:rPr>
        <w:t xml:space="preserve"> since </w:t>
      </w:r>
      <w:r>
        <w:rPr>
          <w:szCs w:val="24"/>
        </w:rPr>
        <w:t>Elicia</w:t>
      </w:r>
      <w:r w:rsidR="00296B15">
        <w:rPr>
          <w:szCs w:val="24"/>
        </w:rPr>
        <w:t xml:space="preserve"> would get the benefit </w:t>
      </w:r>
      <w:r w:rsidR="003B799C">
        <w:rPr>
          <w:szCs w:val="24"/>
        </w:rPr>
        <w:t xml:space="preserve">of a reduced shareholders’ equity and thus a lower payment required to Dabika. </w:t>
      </w:r>
      <w:r w:rsidR="0017650C">
        <w:rPr>
          <w:szCs w:val="24"/>
        </w:rPr>
        <w:t xml:space="preserve">The purchase of this inventory would have been a decision made by both </w:t>
      </w:r>
      <w:r>
        <w:rPr>
          <w:szCs w:val="24"/>
        </w:rPr>
        <w:t>Dabika</w:t>
      </w:r>
      <w:r w:rsidR="0017650C">
        <w:rPr>
          <w:szCs w:val="24"/>
        </w:rPr>
        <w:t xml:space="preserve"> and </w:t>
      </w:r>
      <w:r>
        <w:rPr>
          <w:szCs w:val="24"/>
        </w:rPr>
        <w:t>Elicia</w:t>
      </w:r>
      <w:r w:rsidR="0017650C">
        <w:rPr>
          <w:szCs w:val="24"/>
        </w:rPr>
        <w:t xml:space="preserve"> so if </w:t>
      </w:r>
      <w:r w:rsidR="003B799C">
        <w:rPr>
          <w:szCs w:val="24"/>
        </w:rPr>
        <w:t>the inventory is unsellable</w:t>
      </w:r>
      <w:r w:rsidR="0017650C">
        <w:rPr>
          <w:szCs w:val="24"/>
        </w:rPr>
        <w:t xml:space="preserve"> they should both </w:t>
      </w:r>
      <w:r w:rsidR="005F1625">
        <w:rPr>
          <w:szCs w:val="24"/>
        </w:rPr>
        <w:t>bear</w:t>
      </w:r>
      <w:r w:rsidR="0017650C">
        <w:rPr>
          <w:szCs w:val="24"/>
        </w:rPr>
        <w:t xml:space="preserve"> the impact of this decision.</w:t>
      </w:r>
    </w:p>
    <w:p w14:paraId="3155957B" w14:textId="77777777" w:rsidR="00296B15" w:rsidRDefault="00296B15" w:rsidP="00C64FC7">
      <w:pPr>
        <w:rPr>
          <w:szCs w:val="24"/>
        </w:rPr>
      </w:pPr>
    </w:p>
    <w:p w14:paraId="3B5450F2" w14:textId="77777777" w:rsidR="00296B15" w:rsidRDefault="00296B15" w:rsidP="00C64FC7">
      <w:pPr>
        <w:rPr>
          <w:i/>
          <w:szCs w:val="24"/>
        </w:rPr>
      </w:pPr>
      <w:r>
        <w:rPr>
          <w:i/>
          <w:szCs w:val="24"/>
        </w:rPr>
        <w:t>Warranty</w:t>
      </w:r>
    </w:p>
    <w:p w14:paraId="2CB235C6" w14:textId="77777777" w:rsidR="00623758" w:rsidRDefault="0017650C" w:rsidP="00C64FC7">
      <w:pPr>
        <w:rPr>
          <w:szCs w:val="24"/>
        </w:rPr>
      </w:pPr>
      <w:r>
        <w:rPr>
          <w:szCs w:val="24"/>
        </w:rPr>
        <w:t>According to ASPE the accounting policy is appropriate and a warranty expense should be included for the guarantee. The impact is that this would decrease shareholders</w:t>
      </w:r>
      <w:r w:rsidR="003B799C">
        <w:rPr>
          <w:szCs w:val="24"/>
        </w:rPr>
        <w:t>’</w:t>
      </w:r>
      <w:r>
        <w:rPr>
          <w:szCs w:val="24"/>
        </w:rPr>
        <w:t xml:space="preserve"> equity and the amount of the payment to </w:t>
      </w:r>
      <w:r w:rsidR="0052512A">
        <w:rPr>
          <w:szCs w:val="24"/>
        </w:rPr>
        <w:t>Dabika</w:t>
      </w:r>
      <w:r>
        <w:rPr>
          <w:szCs w:val="24"/>
        </w:rPr>
        <w:t xml:space="preserve">. This is a new policy that did not exist until this year. </w:t>
      </w:r>
      <w:r w:rsidR="005F1625">
        <w:rPr>
          <w:szCs w:val="24"/>
        </w:rPr>
        <w:t xml:space="preserve">The estimate of 5% was only based on sales from the fall. </w:t>
      </w:r>
      <w:r>
        <w:rPr>
          <w:szCs w:val="24"/>
        </w:rPr>
        <w:t xml:space="preserve">Since it is a new policy that was made by </w:t>
      </w:r>
      <w:r w:rsidR="0052512A">
        <w:rPr>
          <w:szCs w:val="24"/>
        </w:rPr>
        <w:t>Elicia</w:t>
      </w:r>
      <w:r>
        <w:rPr>
          <w:szCs w:val="24"/>
        </w:rPr>
        <w:t xml:space="preserve"> on her own it may be appropriate that the impact of this is excluded from the calculation of shareholders</w:t>
      </w:r>
      <w:r w:rsidR="003B799C">
        <w:rPr>
          <w:szCs w:val="24"/>
        </w:rPr>
        <w:t>’</w:t>
      </w:r>
      <w:r>
        <w:rPr>
          <w:szCs w:val="24"/>
        </w:rPr>
        <w:t xml:space="preserve"> equity. At a minimum the estimate shou</w:t>
      </w:r>
      <w:r w:rsidR="005F1625">
        <w:rPr>
          <w:szCs w:val="24"/>
        </w:rPr>
        <w:t>l</w:t>
      </w:r>
      <w:r>
        <w:rPr>
          <w:szCs w:val="24"/>
        </w:rPr>
        <w:t xml:space="preserve">d </w:t>
      </w:r>
      <w:r>
        <w:rPr>
          <w:szCs w:val="24"/>
        </w:rPr>
        <w:lastRenderedPageBreak/>
        <w:t>be reviewed to determine if it is reasonable</w:t>
      </w:r>
      <w:r w:rsidR="00623758">
        <w:rPr>
          <w:szCs w:val="24"/>
        </w:rPr>
        <w:t xml:space="preserve">. Furthermore, the estimate, if included in the shareholders’ equity calculation, should be agreed upon by both Elicia and Dabika. </w:t>
      </w:r>
    </w:p>
    <w:p w14:paraId="4BC5A8F2" w14:textId="77777777" w:rsidR="00C64FC7" w:rsidRDefault="00C64FC7" w:rsidP="00C64FC7">
      <w:pPr>
        <w:tabs>
          <w:tab w:val="left" w:pos="440"/>
        </w:tabs>
        <w:ind w:left="440" w:hanging="440"/>
        <w:rPr>
          <w:szCs w:val="24"/>
        </w:rPr>
      </w:pPr>
    </w:p>
    <w:p w14:paraId="78EF38B5" w14:textId="77777777" w:rsidR="0017650C" w:rsidRDefault="0017650C" w:rsidP="00C64FC7">
      <w:pPr>
        <w:tabs>
          <w:tab w:val="left" w:pos="440"/>
        </w:tabs>
        <w:ind w:left="440" w:hanging="440"/>
        <w:rPr>
          <w:i/>
          <w:szCs w:val="24"/>
        </w:rPr>
      </w:pPr>
      <w:r>
        <w:rPr>
          <w:i/>
          <w:szCs w:val="24"/>
        </w:rPr>
        <w:t>Computer Equipment</w:t>
      </w:r>
    </w:p>
    <w:p w14:paraId="0C5F6E12" w14:textId="77777777" w:rsidR="0017650C" w:rsidRDefault="0017650C" w:rsidP="0017650C">
      <w:pPr>
        <w:rPr>
          <w:szCs w:val="24"/>
        </w:rPr>
      </w:pPr>
      <w:r>
        <w:rPr>
          <w:szCs w:val="24"/>
        </w:rPr>
        <w:t>ASPE is flexible in the method used to depr</w:t>
      </w:r>
      <w:r w:rsidR="005F1625">
        <w:rPr>
          <w:szCs w:val="24"/>
        </w:rPr>
        <w:t>e</w:t>
      </w:r>
      <w:r>
        <w:rPr>
          <w:szCs w:val="24"/>
        </w:rPr>
        <w:t>ciate assets. The declining balance method using 40% would write off the value of the computers in approximately two years. Th</w:t>
      </w:r>
      <w:r w:rsidR="00DE333F">
        <w:rPr>
          <w:szCs w:val="24"/>
        </w:rPr>
        <w:t>i</w:t>
      </w:r>
      <w:r>
        <w:rPr>
          <w:szCs w:val="24"/>
        </w:rPr>
        <w:t>s is very fast esp</w:t>
      </w:r>
      <w:r w:rsidR="000114B5">
        <w:rPr>
          <w:szCs w:val="24"/>
        </w:rPr>
        <w:t>ecially for a small company tha</w:t>
      </w:r>
      <w:r w:rsidR="00623758">
        <w:rPr>
          <w:szCs w:val="24"/>
        </w:rPr>
        <w:t>t</w:t>
      </w:r>
      <w:r>
        <w:rPr>
          <w:szCs w:val="24"/>
        </w:rPr>
        <w:t xml:space="preserve"> is likely to use a computer for a longer period of time </w:t>
      </w:r>
      <w:r w:rsidR="00623758">
        <w:rPr>
          <w:szCs w:val="24"/>
        </w:rPr>
        <w:t>due to limited resources as compared to a larger company</w:t>
      </w:r>
      <w:r>
        <w:rPr>
          <w:szCs w:val="24"/>
        </w:rPr>
        <w:t xml:space="preserve">. Just because </w:t>
      </w:r>
      <w:r w:rsidR="00623758">
        <w:rPr>
          <w:szCs w:val="24"/>
        </w:rPr>
        <w:t>the computer</w:t>
      </w:r>
      <w:r>
        <w:rPr>
          <w:szCs w:val="24"/>
        </w:rPr>
        <w:t xml:space="preserve"> </w:t>
      </w:r>
      <w:r w:rsidR="00623758">
        <w:rPr>
          <w:szCs w:val="24"/>
        </w:rPr>
        <w:t xml:space="preserve">may </w:t>
      </w:r>
      <w:r w:rsidR="000114B5">
        <w:rPr>
          <w:szCs w:val="24"/>
        </w:rPr>
        <w:t>become</w:t>
      </w:r>
      <w:r>
        <w:rPr>
          <w:szCs w:val="24"/>
        </w:rPr>
        <w:t xml:space="preserve"> obsolete quickly does not mean the business will not continue to </w:t>
      </w:r>
      <w:r w:rsidR="00623758">
        <w:rPr>
          <w:szCs w:val="24"/>
        </w:rPr>
        <w:t xml:space="preserve">derive benefit from the continued </w:t>
      </w:r>
      <w:r>
        <w:rPr>
          <w:szCs w:val="24"/>
        </w:rPr>
        <w:t xml:space="preserve">use </w:t>
      </w:r>
      <w:r w:rsidR="00623758">
        <w:rPr>
          <w:szCs w:val="24"/>
        </w:rPr>
        <w:t xml:space="preserve">of </w:t>
      </w:r>
      <w:r>
        <w:rPr>
          <w:szCs w:val="24"/>
        </w:rPr>
        <w:t xml:space="preserve">the computer. The impact of </w:t>
      </w:r>
      <w:r w:rsidR="00623758">
        <w:rPr>
          <w:szCs w:val="24"/>
        </w:rPr>
        <w:t>higher depreciation is a reduction in</w:t>
      </w:r>
      <w:r>
        <w:rPr>
          <w:szCs w:val="24"/>
        </w:rPr>
        <w:t xml:space="preserve"> the payment to </w:t>
      </w:r>
      <w:r w:rsidR="0052512A">
        <w:rPr>
          <w:szCs w:val="24"/>
        </w:rPr>
        <w:t>Dabika</w:t>
      </w:r>
      <w:r>
        <w:rPr>
          <w:szCs w:val="24"/>
        </w:rPr>
        <w:t xml:space="preserve">. If we look at consistency with other assets it would be appropriate to use </w:t>
      </w:r>
      <w:r w:rsidR="000114B5">
        <w:rPr>
          <w:szCs w:val="24"/>
        </w:rPr>
        <w:t>the</w:t>
      </w:r>
      <w:r>
        <w:rPr>
          <w:szCs w:val="24"/>
        </w:rPr>
        <w:t xml:space="preserve"> straight line method. </w:t>
      </w:r>
      <w:r w:rsidR="00623758">
        <w:rPr>
          <w:szCs w:val="24"/>
        </w:rPr>
        <w:t xml:space="preserve">We should inquire with Elicia as to her rationale for choosing declining balance instead of the straight-line depreciatoin method used for all other assets and determine the declining method reflects the actual usage of the asset (i.e. more of the asset used earlier on). </w:t>
      </w:r>
      <w:r>
        <w:rPr>
          <w:szCs w:val="24"/>
        </w:rPr>
        <w:t xml:space="preserve">Since again since this was a decision made only be </w:t>
      </w:r>
      <w:r w:rsidR="0052512A">
        <w:rPr>
          <w:szCs w:val="24"/>
        </w:rPr>
        <w:t>Elicia</w:t>
      </w:r>
      <w:r>
        <w:rPr>
          <w:szCs w:val="24"/>
        </w:rPr>
        <w:t xml:space="preserve"> maybe it should be excluded from the calculation or maybe the policy should be consistent with their other assets</w:t>
      </w:r>
      <w:r w:rsidR="00623758">
        <w:rPr>
          <w:szCs w:val="24"/>
        </w:rPr>
        <w:t xml:space="preserve"> but further information is required</w:t>
      </w:r>
      <w:r>
        <w:rPr>
          <w:szCs w:val="24"/>
        </w:rPr>
        <w:t>.</w:t>
      </w:r>
    </w:p>
    <w:p w14:paraId="440E54D2" w14:textId="77777777" w:rsidR="0017650C" w:rsidRDefault="0017650C" w:rsidP="0017650C">
      <w:pPr>
        <w:rPr>
          <w:szCs w:val="24"/>
        </w:rPr>
      </w:pPr>
    </w:p>
    <w:p w14:paraId="74D8E38A" w14:textId="5C529E54" w:rsidR="00A47052" w:rsidRDefault="00DE333F" w:rsidP="00C64FC7">
      <w:pPr>
        <w:tabs>
          <w:tab w:val="left" w:pos="440"/>
        </w:tabs>
        <w:ind w:left="440" w:hanging="440"/>
        <w:rPr>
          <w:szCs w:val="24"/>
        </w:rPr>
      </w:pPr>
      <w:r>
        <w:rPr>
          <w:b/>
          <w:szCs w:val="24"/>
        </w:rPr>
        <w:br w:type="page"/>
      </w:r>
      <w:r w:rsidR="00A47052" w:rsidRPr="00A47052">
        <w:rPr>
          <w:b/>
          <w:szCs w:val="24"/>
        </w:rPr>
        <w:lastRenderedPageBreak/>
        <w:t>Case 1-</w:t>
      </w:r>
      <w:r w:rsidR="002307F3">
        <w:rPr>
          <w:b/>
          <w:szCs w:val="24"/>
        </w:rPr>
        <w:t>2</w:t>
      </w:r>
      <w:r w:rsidR="008B1727">
        <w:rPr>
          <w:b/>
          <w:szCs w:val="24"/>
        </w:rPr>
        <w:t xml:space="preserve"> (</w:t>
      </w:r>
      <w:r w:rsidR="008B1727">
        <w:t>LO1.2, LO1.3, LO1.4)</w:t>
      </w:r>
    </w:p>
    <w:p w14:paraId="3F9E0A83" w14:textId="77777777" w:rsidR="00A47052" w:rsidRDefault="00A47052">
      <w:pPr>
        <w:tabs>
          <w:tab w:val="left" w:pos="440"/>
        </w:tabs>
        <w:ind w:left="440" w:hanging="440"/>
        <w:rPr>
          <w:szCs w:val="24"/>
        </w:rPr>
      </w:pPr>
    </w:p>
    <w:p w14:paraId="2D06144A" w14:textId="77777777" w:rsidR="00A47052" w:rsidRDefault="00754CAC">
      <w:pPr>
        <w:tabs>
          <w:tab w:val="left" w:pos="440"/>
        </w:tabs>
        <w:ind w:left="440" w:hanging="440"/>
        <w:rPr>
          <w:szCs w:val="24"/>
        </w:rPr>
      </w:pPr>
      <w:r>
        <w:rPr>
          <w:szCs w:val="24"/>
        </w:rPr>
        <w:t xml:space="preserve">Dear </w:t>
      </w:r>
      <w:r w:rsidR="000F016F">
        <w:rPr>
          <w:szCs w:val="24"/>
        </w:rPr>
        <w:t>Richard Wright</w:t>
      </w:r>
      <w:r>
        <w:rPr>
          <w:szCs w:val="24"/>
        </w:rPr>
        <w:t>:</w:t>
      </w:r>
    </w:p>
    <w:p w14:paraId="5D452669" w14:textId="77777777" w:rsidR="00754CAC" w:rsidRDefault="00754CAC">
      <w:pPr>
        <w:tabs>
          <w:tab w:val="left" w:pos="440"/>
        </w:tabs>
        <w:ind w:left="440" w:hanging="440"/>
        <w:rPr>
          <w:szCs w:val="24"/>
        </w:rPr>
      </w:pPr>
    </w:p>
    <w:p w14:paraId="40DF6795" w14:textId="77777777" w:rsidR="00754CAC" w:rsidRDefault="00754CAC" w:rsidP="00897D11">
      <w:pPr>
        <w:rPr>
          <w:szCs w:val="24"/>
        </w:rPr>
      </w:pPr>
      <w:r>
        <w:rPr>
          <w:szCs w:val="24"/>
        </w:rPr>
        <w:t xml:space="preserve">I am happy to respond to your </w:t>
      </w:r>
      <w:r w:rsidR="00897D11">
        <w:rPr>
          <w:szCs w:val="24"/>
        </w:rPr>
        <w:t xml:space="preserve">questions regarding the accounting changes that the new banker has requested. </w:t>
      </w:r>
      <w:r w:rsidR="002307F3">
        <w:rPr>
          <w:szCs w:val="24"/>
        </w:rPr>
        <w:t>It is important that you realize that the needs of the banker are different than your needs. The bank is interested in your ability to make loan payments</w:t>
      </w:r>
      <w:r w:rsidR="00445DCA">
        <w:rPr>
          <w:szCs w:val="24"/>
        </w:rPr>
        <w:t xml:space="preserve">; therefore, the banker wants to assess future cash flows, collateral and your ability to pay back the loan. </w:t>
      </w:r>
    </w:p>
    <w:p w14:paraId="55958603" w14:textId="77777777" w:rsidR="00897D11" w:rsidRDefault="00897D11" w:rsidP="00897D11">
      <w:pPr>
        <w:rPr>
          <w:szCs w:val="24"/>
        </w:rPr>
      </w:pPr>
    </w:p>
    <w:p w14:paraId="6442F47C" w14:textId="77777777" w:rsidR="00897D11" w:rsidRDefault="00897D11" w:rsidP="00897D11">
      <w:pPr>
        <w:rPr>
          <w:szCs w:val="24"/>
        </w:rPr>
      </w:pPr>
      <w:r>
        <w:rPr>
          <w:szCs w:val="24"/>
        </w:rPr>
        <w:t xml:space="preserve">First, there is the issue of moving to the accrual basis. While it’s true that, ultimately, what you earn is the net cash in your pocket, the cash basis of accounting doesn’t wholly capture all of the cash flows that will happen in the future. Your banker wants to know what liabilities you’ll have to pay in the coming months (and years), and what </w:t>
      </w:r>
      <w:r w:rsidR="00445DCA">
        <w:rPr>
          <w:szCs w:val="24"/>
        </w:rPr>
        <w:t xml:space="preserve">amounts </w:t>
      </w:r>
      <w:r>
        <w:rPr>
          <w:szCs w:val="24"/>
        </w:rPr>
        <w:t>you currently are owed that will be collected in the future weeks or months. The accrual method really gives a clear picture of</w:t>
      </w:r>
      <w:r w:rsidR="002307F3">
        <w:rPr>
          <w:szCs w:val="24"/>
        </w:rPr>
        <w:t xml:space="preserve"> future</w:t>
      </w:r>
      <w:r>
        <w:rPr>
          <w:szCs w:val="24"/>
        </w:rPr>
        <w:t xml:space="preserve"> “cash flow”. </w:t>
      </w:r>
    </w:p>
    <w:p w14:paraId="77AA1940" w14:textId="77777777" w:rsidR="00897D11" w:rsidRDefault="00897D11" w:rsidP="00897D11">
      <w:pPr>
        <w:rPr>
          <w:szCs w:val="24"/>
        </w:rPr>
      </w:pPr>
    </w:p>
    <w:p w14:paraId="5397B525" w14:textId="77777777" w:rsidR="00897D11" w:rsidRDefault="00F8040C" w:rsidP="00897D11">
      <w:pPr>
        <w:rPr>
          <w:szCs w:val="24"/>
        </w:rPr>
      </w:pPr>
      <w:r>
        <w:rPr>
          <w:szCs w:val="24"/>
        </w:rPr>
        <w:t xml:space="preserve">It’s for much the same reason that he wishes you to show your cattle at market value. I’m sure he recognizes that both your dairy cattle and your breeders are intended for continued use and are not for sale in the normal course of business.As saleable stock, the cattle represent a potential cash resource in the event of bankruptcy or default. After all, you probably use the cattle as collateral for loans, and he needs to know the value of that </w:t>
      </w:r>
      <w:r w:rsidR="004A37FD">
        <w:rPr>
          <w:szCs w:val="24"/>
        </w:rPr>
        <w:t xml:space="preserve">collateral. </w:t>
      </w:r>
    </w:p>
    <w:p w14:paraId="7E0D20E2" w14:textId="77777777" w:rsidR="004A37FD" w:rsidRDefault="004A37FD" w:rsidP="00897D11">
      <w:pPr>
        <w:rPr>
          <w:szCs w:val="24"/>
        </w:rPr>
      </w:pPr>
    </w:p>
    <w:p w14:paraId="58B37323" w14:textId="77777777" w:rsidR="004A37FD" w:rsidRDefault="004A37FD" w:rsidP="00897D11">
      <w:pPr>
        <w:rPr>
          <w:szCs w:val="24"/>
        </w:rPr>
      </w:pPr>
      <w:r>
        <w:t xml:space="preserve">You should not try to estimate the value of your stock by yourself. </w:t>
      </w:r>
      <w:r>
        <w:rPr>
          <w:szCs w:val="24"/>
        </w:rPr>
        <w:t xml:space="preserve">For </w:t>
      </w:r>
      <w:r w:rsidRPr="004A37FD">
        <w:t>credibility</w:t>
      </w:r>
      <w:r>
        <w:t xml:space="preserve">, you should obtain an independent estimate. The valuation will require a professional evaluation (and the cost thereof), but will be necessary in order to satisfy the bank. </w:t>
      </w:r>
    </w:p>
    <w:p w14:paraId="7754FB6D" w14:textId="77777777" w:rsidR="004A37FD" w:rsidRDefault="004A37FD" w:rsidP="00897D11">
      <w:pPr>
        <w:rPr>
          <w:szCs w:val="24"/>
        </w:rPr>
      </w:pPr>
    </w:p>
    <w:p w14:paraId="123E6C27" w14:textId="77777777" w:rsidR="00A47052" w:rsidRDefault="00A47052">
      <w:pPr>
        <w:tabs>
          <w:tab w:val="left" w:pos="440"/>
        </w:tabs>
        <w:ind w:left="440" w:hanging="440"/>
        <w:rPr>
          <w:szCs w:val="24"/>
        </w:rPr>
      </w:pPr>
    </w:p>
    <w:p w14:paraId="7FC7C8D7" w14:textId="77777777" w:rsidR="00A47052" w:rsidRPr="00AC30E5" w:rsidRDefault="004A37FD">
      <w:pPr>
        <w:tabs>
          <w:tab w:val="left" w:pos="440"/>
        </w:tabs>
        <w:ind w:left="440" w:hanging="440"/>
        <w:rPr>
          <w:szCs w:val="24"/>
          <w:lang w:val="es-ES"/>
        </w:rPr>
      </w:pPr>
      <w:r w:rsidRPr="00AC30E5">
        <w:rPr>
          <w:szCs w:val="24"/>
          <w:lang w:val="es-ES"/>
        </w:rPr>
        <w:t>Sincerely,</w:t>
      </w:r>
    </w:p>
    <w:p w14:paraId="2E70D48C" w14:textId="77777777" w:rsidR="004A37FD" w:rsidRPr="00AC30E5" w:rsidRDefault="004A37FD">
      <w:pPr>
        <w:tabs>
          <w:tab w:val="left" w:pos="440"/>
        </w:tabs>
        <w:ind w:left="440" w:hanging="440"/>
        <w:rPr>
          <w:szCs w:val="24"/>
          <w:lang w:val="es-ES"/>
        </w:rPr>
      </w:pPr>
      <w:r w:rsidRPr="00AC30E5">
        <w:rPr>
          <w:szCs w:val="24"/>
          <w:lang w:val="es-ES"/>
        </w:rPr>
        <w:t>Andrian</w:t>
      </w:r>
      <w:r w:rsidR="000114B5" w:rsidRPr="00AC30E5">
        <w:rPr>
          <w:szCs w:val="24"/>
          <w:lang w:val="es-ES"/>
        </w:rPr>
        <w:t>a</w:t>
      </w:r>
    </w:p>
    <w:p w14:paraId="3996BCD3" w14:textId="77777777" w:rsidR="00A47052" w:rsidRPr="00AC30E5" w:rsidRDefault="00A47052">
      <w:pPr>
        <w:tabs>
          <w:tab w:val="left" w:pos="440"/>
        </w:tabs>
        <w:ind w:left="440" w:hanging="440"/>
        <w:rPr>
          <w:szCs w:val="24"/>
          <w:lang w:val="es-ES"/>
        </w:rPr>
      </w:pPr>
    </w:p>
    <w:p w14:paraId="66D6CCCE" w14:textId="6890F6A6" w:rsidR="00516599" w:rsidRPr="00AC30E5" w:rsidRDefault="00A47052" w:rsidP="00516599">
      <w:pPr>
        <w:pStyle w:val="Heading2"/>
        <w:rPr>
          <w:b/>
          <w:i w:val="0"/>
          <w:iCs/>
          <w:lang w:val="es-ES"/>
        </w:rPr>
      </w:pPr>
      <w:r w:rsidRPr="00AC30E5">
        <w:rPr>
          <w:b/>
          <w:i w:val="0"/>
          <w:lang w:val="es-ES"/>
        </w:rPr>
        <w:br w:type="page"/>
      </w:r>
      <w:r w:rsidRPr="00AC30E5">
        <w:rPr>
          <w:b/>
          <w:i w:val="0"/>
          <w:lang w:val="es-ES"/>
        </w:rPr>
        <w:lastRenderedPageBreak/>
        <w:t>Case 1-</w:t>
      </w:r>
      <w:r w:rsidR="002307F3" w:rsidRPr="00AC30E5">
        <w:rPr>
          <w:b/>
          <w:i w:val="0"/>
          <w:lang w:val="es-ES"/>
        </w:rPr>
        <w:t>3</w:t>
      </w:r>
      <w:r w:rsidR="008B1727" w:rsidRPr="00AC30E5">
        <w:rPr>
          <w:b/>
          <w:i w:val="0"/>
          <w:lang w:val="es-ES"/>
        </w:rPr>
        <w:t xml:space="preserve"> </w:t>
      </w:r>
      <w:r w:rsidR="008B1727" w:rsidRPr="00AC30E5">
        <w:rPr>
          <w:i w:val="0"/>
          <w:iCs/>
          <w:szCs w:val="24"/>
          <w:lang w:val="es-ES"/>
        </w:rPr>
        <w:t>(LO1.1,</w:t>
      </w:r>
      <w:r w:rsidR="008B1727" w:rsidRPr="00AC30E5">
        <w:rPr>
          <w:b/>
          <w:i w:val="0"/>
          <w:iCs/>
          <w:szCs w:val="24"/>
          <w:lang w:val="es-ES"/>
        </w:rPr>
        <w:t xml:space="preserve"> </w:t>
      </w:r>
      <w:r w:rsidR="008B1727" w:rsidRPr="00AC30E5">
        <w:rPr>
          <w:i w:val="0"/>
          <w:iCs/>
          <w:lang w:val="es-ES"/>
        </w:rPr>
        <w:t>LO1.2, LO1.3, LO1.4)</w:t>
      </w:r>
    </w:p>
    <w:p w14:paraId="597BF917" w14:textId="77777777" w:rsidR="00516599" w:rsidRPr="00AC30E5" w:rsidRDefault="00516599" w:rsidP="008A55F1">
      <w:pPr>
        <w:rPr>
          <w:lang w:val="es-ES"/>
        </w:rPr>
      </w:pPr>
    </w:p>
    <w:p w14:paraId="040FC3AC" w14:textId="77777777" w:rsidR="008B279D" w:rsidRPr="008B279D" w:rsidRDefault="008B279D" w:rsidP="008A55F1">
      <w:pPr>
        <w:rPr>
          <w:i/>
        </w:rPr>
      </w:pPr>
      <w:r>
        <w:rPr>
          <w:i/>
        </w:rPr>
        <w:t>Overview</w:t>
      </w:r>
    </w:p>
    <w:p w14:paraId="6BD24891" w14:textId="77777777" w:rsidR="008B279D" w:rsidRDefault="008B279D" w:rsidP="008A55F1"/>
    <w:p w14:paraId="7D36CD85" w14:textId="77777777" w:rsidR="008B279D" w:rsidRDefault="008B279D" w:rsidP="008A55F1">
      <w:r>
        <w:t xml:space="preserve">This case is intended to get students to focus on the differences between companies and the various factors that have a bearing on their </w:t>
      </w:r>
      <w:r w:rsidR="00845F80">
        <w:t xml:space="preserve">financial reporting objectives. Students are </w:t>
      </w:r>
      <w:r w:rsidR="007F0A1B">
        <w:t xml:space="preserve">asked to </w:t>
      </w:r>
      <w:r w:rsidR="00845F80">
        <w:t xml:space="preserve"> prioritize the factors or characteristics that are most likely to affect each company’s financial reporting.</w:t>
      </w:r>
    </w:p>
    <w:p w14:paraId="3A77686B" w14:textId="77777777" w:rsidR="008B279D" w:rsidRDefault="008B279D" w:rsidP="008A55F1"/>
    <w:p w14:paraId="11EDA984" w14:textId="77777777" w:rsidR="008B279D" w:rsidRPr="008B279D" w:rsidRDefault="008B279D" w:rsidP="002C7887">
      <w:pPr>
        <w:tabs>
          <w:tab w:val="left" w:pos="3756"/>
        </w:tabs>
        <w:rPr>
          <w:i/>
        </w:rPr>
      </w:pPr>
      <w:r>
        <w:rPr>
          <w:i/>
        </w:rPr>
        <w:t>Company Characterics</w:t>
      </w:r>
      <w:r w:rsidR="00A94F0C">
        <w:rPr>
          <w:i/>
        </w:rPr>
        <w:tab/>
      </w:r>
    </w:p>
    <w:p w14:paraId="658CDBDB" w14:textId="77777777" w:rsidR="008B279D" w:rsidRDefault="008B279D" w:rsidP="008A55F1"/>
    <w:p w14:paraId="67DB5585" w14:textId="77777777" w:rsidR="00913087" w:rsidRDefault="00A07C38" w:rsidP="00913087">
      <w:r>
        <w:t xml:space="preserve">All three companies are private enterprises. </w:t>
      </w:r>
      <w:r w:rsidR="00A24225">
        <w:t>S</w:t>
      </w:r>
      <w:r>
        <w:t xml:space="preserve">ignificant characteristics of each are as follows: </w:t>
      </w:r>
    </w:p>
    <w:p w14:paraId="646CBDE9" w14:textId="77777777" w:rsidR="00A07C38" w:rsidRDefault="00A07C38" w:rsidP="00913087"/>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575"/>
        <w:gridCol w:w="2576"/>
        <w:gridCol w:w="2576"/>
      </w:tblGrid>
      <w:tr w:rsidR="00A07C38" w14:paraId="1A04541F" w14:textId="77777777" w:rsidTr="00C92C41">
        <w:tc>
          <w:tcPr>
            <w:tcW w:w="1365" w:type="dxa"/>
          </w:tcPr>
          <w:p w14:paraId="3ABE7161" w14:textId="77777777" w:rsidR="00A07C38" w:rsidRPr="00C92C41" w:rsidRDefault="00A07C38" w:rsidP="00913087">
            <w:pPr>
              <w:rPr>
                <w:i/>
                <w:sz w:val="20"/>
              </w:rPr>
            </w:pPr>
          </w:p>
        </w:tc>
        <w:tc>
          <w:tcPr>
            <w:tcW w:w="2575" w:type="dxa"/>
          </w:tcPr>
          <w:p w14:paraId="371078FF" w14:textId="77777777" w:rsidR="00A07C38" w:rsidRPr="00C92C41" w:rsidRDefault="00A07C38" w:rsidP="00C92C41">
            <w:pPr>
              <w:jc w:val="center"/>
              <w:rPr>
                <w:b/>
                <w:sz w:val="20"/>
              </w:rPr>
            </w:pPr>
            <w:r w:rsidRPr="00C92C41">
              <w:rPr>
                <w:b/>
                <w:sz w:val="20"/>
              </w:rPr>
              <w:t>Breeze Inc.</w:t>
            </w:r>
          </w:p>
        </w:tc>
        <w:tc>
          <w:tcPr>
            <w:tcW w:w="2576" w:type="dxa"/>
          </w:tcPr>
          <w:p w14:paraId="0DFE918D" w14:textId="77777777" w:rsidR="00A07C38" w:rsidRPr="00C92C41" w:rsidRDefault="00A07C38" w:rsidP="00C92C41">
            <w:pPr>
              <w:jc w:val="center"/>
              <w:rPr>
                <w:b/>
                <w:sz w:val="20"/>
              </w:rPr>
            </w:pPr>
            <w:r w:rsidRPr="00C92C41">
              <w:rPr>
                <w:b/>
                <w:sz w:val="20"/>
              </w:rPr>
              <w:t>Saturn Software</w:t>
            </w:r>
          </w:p>
        </w:tc>
        <w:tc>
          <w:tcPr>
            <w:tcW w:w="2576" w:type="dxa"/>
          </w:tcPr>
          <w:p w14:paraId="7A228990" w14:textId="77777777" w:rsidR="00A07C38" w:rsidRPr="00C92C41" w:rsidRDefault="00A07C38" w:rsidP="00C92C41">
            <w:pPr>
              <w:jc w:val="center"/>
              <w:rPr>
                <w:b/>
                <w:sz w:val="20"/>
              </w:rPr>
            </w:pPr>
            <w:r w:rsidRPr="00C92C41">
              <w:rPr>
                <w:b/>
                <w:sz w:val="20"/>
              </w:rPr>
              <w:t>Intern’l Auto Parts</w:t>
            </w:r>
          </w:p>
        </w:tc>
      </w:tr>
      <w:tr w:rsidR="00A07C38" w14:paraId="2AB5CA51" w14:textId="77777777" w:rsidTr="00C92C41">
        <w:tc>
          <w:tcPr>
            <w:tcW w:w="1365" w:type="dxa"/>
          </w:tcPr>
          <w:p w14:paraId="331BF803" w14:textId="77777777" w:rsidR="00A07C38" w:rsidRPr="00C92C41" w:rsidRDefault="00A24225" w:rsidP="00913087">
            <w:pPr>
              <w:rPr>
                <w:i/>
                <w:sz w:val="20"/>
              </w:rPr>
            </w:pPr>
            <w:r w:rsidRPr="00C92C41">
              <w:rPr>
                <w:i/>
                <w:sz w:val="20"/>
              </w:rPr>
              <w:t>Business</w:t>
            </w:r>
          </w:p>
        </w:tc>
        <w:tc>
          <w:tcPr>
            <w:tcW w:w="2575" w:type="dxa"/>
          </w:tcPr>
          <w:p w14:paraId="53066142" w14:textId="77777777" w:rsidR="00A07C38" w:rsidRPr="00C92C41" w:rsidRDefault="00A07C38" w:rsidP="00C92C41">
            <w:pPr>
              <w:jc w:val="left"/>
              <w:rPr>
                <w:sz w:val="20"/>
              </w:rPr>
            </w:pPr>
            <w:r w:rsidRPr="00C92C41">
              <w:rPr>
                <w:sz w:val="20"/>
              </w:rPr>
              <w:t>New mobile phone network</w:t>
            </w:r>
          </w:p>
        </w:tc>
        <w:tc>
          <w:tcPr>
            <w:tcW w:w="2576" w:type="dxa"/>
          </w:tcPr>
          <w:p w14:paraId="36CDF678" w14:textId="77777777" w:rsidR="00A07C38" w:rsidRPr="00C92C41" w:rsidRDefault="00A07C38" w:rsidP="00C92C41">
            <w:pPr>
              <w:jc w:val="left"/>
              <w:rPr>
                <w:sz w:val="20"/>
              </w:rPr>
            </w:pPr>
            <w:r w:rsidRPr="00C92C41">
              <w:rPr>
                <w:sz w:val="20"/>
              </w:rPr>
              <w:t>Custom software development</w:t>
            </w:r>
          </w:p>
        </w:tc>
        <w:tc>
          <w:tcPr>
            <w:tcW w:w="2576" w:type="dxa"/>
          </w:tcPr>
          <w:p w14:paraId="16753D1A" w14:textId="77777777" w:rsidR="00A07C38" w:rsidRPr="00C92C41" w:rsidRDefault="00515B75" w:rsidP="00C92C41">
            <w:pPr>
              <w:jc w:val="left"/>
              <w:rPr>
                <w:sz w:val="20"/>
              </w:rPr>
            </w:pPr>
            <w:r w:rsidRPr="00C92C41">
              <w:rPr>
                <w:sz w:val="20"/>
              </w:rPr>
              <w:t>Auto parts for international auto makers</w:t>
            </w:r>
          </w:p>
        </w:tc>
      </w:tr>
      <w:tr w:rsidR="00A07C38" w14:paraId="492F1203" w14:textId="77777777" w:rsidTr="00C92C41">
        <w:tc>
          <w:tcPr>
            <w:tcW w:w="1365" w:type="dxa"/>
          </w:tcPr>
          <w:p w14:paraId="1B1F3DED" w14:textId="77777777" w:rsidR="00A07C38" w:rsidRPr="00C92C41" w:rsidRDefault="00767507" w:rsidP="00913087">
            <w:pPr>
              <w:rPr>
                <w:i/>
                <w:sz w:val="20"/>
              </w:rPr>
            </w:pPr>
            <w:r w:rsidRPr="00C92C41">
              <w:rPr>
                <w:i/>
                <w:sz w:val="20"/>
              </w:rPr>
              <w:t>Owners</w:t>
            </w:r>
          </w:p>
        </w:tc>
        <w:tc>
          <w:tcPr>
            <w:tcW w:w="2575" w:type="dxa"/>
          </w:tcPr>
          <w:p w14:paraId="18975EED" w14:textId="77777777" w:rsidR="00A07C38" w:rsidRPr="00C92C41" w:rsidRDefault="00767507" w:rsidP="00C92C41">
            <w:pPr>
              <w:jc w:val="left"/>
              <w:rPr>
                <w:sz w:val="20"/>
              </w:rPr>
            </w:pPr>
            <w:r w:rsidRPr="00C92C41">
              <w:rPr>
                <w:sz w:val="20"/>
              </w:rPr>
              <w:t>Private investors</w:t>
            </w:r>
            <w:r w:rsidR="000114B5">
              <w:rPr>
                <w:sz w:val="20"/>
              </w:rPr>
              <w:t xml:space="preserve"> and venture capitalists</w:t>
            </w:r>
          </w:p>
        </w:tc>
        <w:tc>
          <w:tcPr>
            <w:tcW w:w="2576" w:type="dxa"/>
          </w:tcPr>
          <w:p w14:paraId="02217BEC" w14:textId="77777777" w:rsidR="00A07C38" w:rsidRPr="00C92C41" w:rsidRDefault="00623349" w:rsidP="00DE333F">
            <w:pPr>
              <w:jc w:val="left"/>
              <w:rPr>
                <w:sz w:val="20"/>
              </w:rPr>
            </w:pPr>
            <w:r w:rsidRPr="00C92C41">
              <w:rPr>
                <w:sz w:val="20"/>
              </w:rPr>
              <w:t>Two</w:t>
            </w:r>
            <w:r w:rsidR="000A52D3" w:rsidRPr="00C92C41">
              <w:rPr>
                <w:sz w:val="20"/>
              </w:rPr>
              <w:t xml:space="preserve"> entreprene</w:t>
            </w:r>
            <w:r w:rsidR="00DE333F">
              <w:rPr>
                <w:sz w:val="20"/>
              </w:rPr>
              <w:t>u</w:t>
            </w:r>
            <w:r w:rsidR="000A52D3" w:rsidRPr="00C92C41">
              <w:rPr>
                <w:sz w:val="20"/>
              </w:rPr>
              <w:t>rs</w:t>
            </w:r>
            <w:r w:rsidRPr="00C92C41">
              <w:rPr>
                <w:sz w:val="20"/>
              </w:rPr>
              <w:t>, not wealthy</w:t>
            </w:r>
          </w:p>
        </w:tc>
        <w:tc>
          <w:tcPr>
            <w:tcW w:w="2576" w:type="dxa"/>
          </w:tcPr>
          <w:p w14:paraId="599BCDB2" w14:textId="77777777" w:rsidR="00A07C38" w:rsidRPr="00C92C41" w:rsidRDefault="005C1ECB" w:rsidP="00C92C41">
            <w:pPr>
              <w:jc w:val="left"/>
              <w:rPr>
                <w:sz w:val="20"/>
              </w:rPr>
            </w:pPr>
            <w:r w:rsidRPr="00C92C41">
              <w:rPr>
                <w:sz w:val="20"/>
              </w:rPr>
              <w:t>Wealthy family</w:t>
            </w:r>
          </w:p>
        </w:tc>
      </w:tr>
      <w:tr w:rsidR="00A07C38" w14:paraId="1EAF6E46" w14:textId="77777777" w:rsidTr="00C92C41">
        <w:tc>
          <w:tcPr>
            <w:tcW w:w="1365" w:type="dxa"/>
          </w:tcPr>
          <w:p w14:paraId="2DD2E099" w14:textId="77777777" w:rsidR="00A07C38" w:rsidRPr="00C92C41" w:rsidRDefault="005C1ECB" w:rsidP="00913087">
            <w:pPr>
              <w:rPr>
                <w:i/>
                <w:sz w:val="20"/>
              </w:rPr>
            </w:pPr>
            <w:r w:rsidRPr="00C92C41">
              <w:rPr>
                <w:i/>
                <w:sz w:val="20"/>
              </w:rPr>
              <w:t>Other capital sources</w:t>
            </w:r>
          </w:p>
        </w:tc>
        <w:tc>
          <w:tcPr>
            <w:tcW w:w="2575" w:type="dxa"/>
          </w:tcPr>
          <w:p w14:paraId="0DFF0974" w14:textId="77777777" w:rsidR="00A07C38" w:rsidRPr="00C92C41" w:rsidRDefault="005C1ECB" w:rsidP="00C92C41">
            <w:pPr>
              <w:jc w:val="left"/>
              <w:rPr>
                <w:sz w:val="20"/>
              </w:rPr>
            </w:pPr>
            <w:r w:rsidRPr="00C92C41">
              <w:rPr>
                <w:sz w:val="20"/>
              </w:rPr>
              <w:t>Egypt</w:t>
            </w:r>
            <w:r w:rsidR="00623349" w:rsidRPr="00C92C41">
              <w:rPr>
                <w:sz w:val="20"/>
              </w:rPr>
              <w:t>ian</w:t>
            </w:r>
            <w:r w:rsidRPr="00C92C41">
              <w:rPr>
                <w:sz w:val="20"/>
              </w:rPr>
              <w:t xml:space="preserve"> fund</w:t>
            </w:r>
          </w:p>
        </w:tc>
        <w:tc>
          <w:tcPr>
            <w:tcW w:w="2576" w:type="dxa"/>
          </w:tcPr>
          <w:p w14:paraId="0C1A5FA4" w14:textId="77777777" w:rsidR="00A07C38" w:rsidRPr="00C92C41" w:rsidRDefault="005C1ECB" w:rsidP="00C92C41">
            <w:pPr>
              <w:jc w:val="left"/>
              <w:rPr>
                <w:sz w:val="20"/>
              </w:rPr>
            </w:pPr>
            <w:r w:rsidRPr="00C92C41">
              <w:rPr>
                <w:sz w:val="20"/>
              </w:rPr>
              <w:t>Pension fund—pref. shares</w:t>
            </w:r>
          </w:p>
          <w:p w14:paraId="6AD3C867" w14:textId="77777777" w:rsidR="00C07ADB" w:rsidRPr="00C92C41" w:rsidRDefault="00C07ADB" w:rsidP="00C92C41">
            <w:pPr>
              <w:jc w:val="left"/>
              <w:rPr>
                <w:sz w:val="20"/>
              </w:rPr>
            </w:pPr>
            <w:r w:rsidRPr="00C92C41">
              <w:rPr>
                <w:sz w:val="20"/>
              </w:rPr>
              <w:t>Bank line of credit</w:t>
            </w:r>
          </w:p>
        </w:tc>
        <w:tc>
          <w:tcPr>
            <w:tcW w:w="2576" w:type="dxa"/>
          </w:tcPr>
          <w:p w14:paraId="59BC0F9A" w14:textId="77777777" w:rsidR="00A07C38" w:rsidRPr="00C92C41" w:rsidRDefault="00C07ADB" w:rsidP="00C92C41">
            <w:pPr>
              <w:jc w:val="left"/>
              <w:rPr>
                <w:sz w:val="20"/>
              </w:rPr>
            </w:pPr>
            <w:r w:rsidRPr="00C92C41">
              <w:rPr>
                <w:sz w:val="20"/>
              </w:rPr>
              <w:t>Debt through investment fund</w:t>
            </w:r>
            <w:r w:rsidR="00623349" w:rsidRPr="00C92C41">
              <w:rPr>
                <w:sz w:val="20"/>
              </w:rPr>
              <w:t>s</w:t>
            </w:r>
            <w:r w:rsidRPr="00C92C41">
              <w:rPr>
                <w:sz w:val="20"/>
              </w:rPr>
              <w:t xml:space="preserve"> and by </w:t>
            </w:r>
            <w:smartTag w:uri="urn:schemas-microsoft-com:office:smarttags" w:element="country-region">
              <w:smartTag w:uri="urn:schemas-microsoft-com:office:smarttags" w:element="place">
                <w:r w:rsidRPr="00C92C41">
                  <w:rPr>
                    <w:sz w:val="20"/>
                  </w:rPr>
                  <w:t>U.S.</w:t>
                </w:r>
              </w:smartTag>
            </w:smartTag>
            <w:r w:rsidRPr="00C92C41">
              <w:rPr>
                <w:sz w:val="20"/>
              </w:rPr>
              <w:t xml:space="preserve"> and Cdn. banks</w:t>
            </w:r>
          </w:p>
        </w:tc>
      </w:tr>
      <w:tr w:rsidR="00A07C38" w14:paraId="4A513652" w14:textId="77777777" w:rsidTr="00C92C41">
        <w:tc>
          <w:tcPr>
            <w:tcW w:w="1365" w:type="dxa"/>
          </w:tcPr>
          <w:p w14:paraId="4B26396A" w14:textId="77777777" w:rsidR="00A07C38" w:rsidRPr="00C92C41" w:rsidRDefault="00C07ADB" w:rsidP="00913087">
            <w:pPr>
              <w:rPr>
                <w:i/>
                <w:sz w:val="20"/>
              </w:rPr>
            </w:pPr>
            <w:r w:rsidRPr="00C92C41">
              <w:rPr>
                <w:i/>
                <w:sz w:val="20"/>
              </w:rPr>
              <w:t xml:space="preserve">Capital </w:t>
            </w:r>
            <w:r w:rsidR="00623349" w:rsidRPr="00C92C41">
              <w:rPr>
                <w:i/>
                <w:sz w:val="20"/>
              </w:rPr>
              <w:t>requirements</w:t>
            </w:r>
          </w:p>
        </w:tc>
        <w:tc>
          <w:tcPr>
            <w:tcW w:w="2575" w:type="dxa"/>
          </w:tcPr>
          <w:p w14:paraId="14756403" w14:textId="77777777" w:rsidR="00A07C38" w:rsidRPr="00C92C41" w:rsidRDefault="00C07ADB" w:rsidP="00C92C41">
            <w:pPr>
              <w:jc w:val="left"/>
              <w:rPr>
                <w:sz w:val="20"/>
              </w:rPr>
            </w:pPr>
            <w:r w:rsidRPr="00C92C41">
              <w:rPr>
                <w:sz w:val="20"/>
              </w:rPr>
              <w:t>Capital intensive start-up</w:t>
            </w:r>
          </w:p>
        </w:tc>
        <w:tc>
          <w:tcPr>
            <w:tcW w:w="2576" w:type="dxa"/>
          </w:tcPr>
          <w:p w14:paraId="768A8C05" w14:textId="77777777" w:rsidR="00A07C38" w:rsidRPr="00C92C41" w:rsidRDefault="00C07ADB" w:rsidP="00C92C41">
            <w:pPr>
              <w:jc w:val="left"/>
              <w:rPr>
                <w:sz w:val="20"/>
              </w:rPr>
            </w:pPr>
            <w:r w:rsidRPr="00C92C41">
              <w:rPr>
                <w:sz w:val="20"/>
              </w:rPr>
              <w:t>Salary-based operation; working capital needed</w:t>
            </w:r>
          </w:p>
        </w:tc>
        <w:tc>
          <w:tcPr>
            <w:tcW w:w="2576" w:type="dxa"/>
          </w:tcPr>
          <w:p w14:paraId="3C2AA037" w14:textId="77777777" w:rsidR="00A07C38" w:rsidRPr="00C92C41" w:rsidRDefault="00C07ADB" w:rsidP="00DE333F">
            <w:pPr>
              <w:jc w:val="left"/>
              <w:rPr>
                <w:sz w:val="20"/>
              </w:rPr>
            </w:pPr>
            <w:r w:rsidRPr="00C92C41">
              <w:rPr>
                <w:sz w:val="20"/>
              </w:rPr>
              <w:t>Estab</w:t>
            </w:r>
            <w:r w:rsidR="00623349" w:rsidRPr="00C92C41">
              <w:rPr>
                <w:sz w:val="20"/>
              </w:rPr>
              <w:t>lished m</w:t>
            </w:r>
            <w:r w:rsidR="00DE333F">
              <w:rPr>
                <w:sz w:val="20"/>
              </w:rPr>
              <w:t>anufacturer</w:t>
            </w:r>
            <w:r w:rsidR="00623349" w:rsidRPr="00C92C41">
              <w:rPr>
                <w:sz w:val="20"/>
              </w:rPr>
              <w:t>; expanding to gain</w:t>
            </w:r>
            <w:r w:rsidRPr="00C92C41">
              <w:rPr>
                <w:sz w:val="20"/>
              </w:rPr>
              <w:t xml:space="preserve"> foreign customers</w:t>
            </w:r>
          </w:p>
        </w:tc>
      </w:tr>
      <w:tr w:rsidR="00A07C38" w14:paraId="20F81B8A" w14:textId="77777777" w:rsidTr="00C92C41">
        <w:tc>
          <w:tcPr>
            <w:tcW w:w="1365" w:type="dxa"/>
          </w:tcPr>
          <w:p w14:paraId="289DC78D" w14:textId="77777777" w:rsidR="00A07C38" w:rsidRPr="00C92C41" w:rsidRDefault="00C07ADB" w:rsidP="00913087">
            <w:pPr>
              <w:rPr>
                <w:i/>
                <w:sz w:val="20"/>
              </w:rPr>
            </w:pPr>
            <w:r w:rsidRPr="00C92C41">
              <w:rPr>
                <w:i/>
                <w:sz w:val="20"/>
              </w:rPr>
              <w:t>Constraints</w:t>
            </w:r>
          </w:p>
        </w:tc>
        <w:tc>
          <w:tcPr>
            <w:tcW w:w="2575" w:type="dxa"/>
          </w:tcPr>
          <w:p w14:paraId="47FD24F1" w14:textId="77777777" w:rsidR="00A07C38" w:rsidRPr="00C92C41" w:rsidRDefault="00C07ADB" w:rsidP="00C92C41">
            <w:pPr>
              <w:jc w:val="left"/>
              <w:rPr>
                <w:sz w:val="20"/>
              </w:rPr>
            </w:pPr>
            <w:smartTag w:uri="urn:schemas-microsoft-com:office:smarttags" w:element="country-region">
              <w:smartTag w:uri="urn:schemas-microsoft-com:office:smarttags" w:element="place">
                <w:r w:rsidRPr="00C92C41">
                  <w:rPr>
                    <w:sz w:val="20"/>
                  </w:rPr>
                  <w:t>Egypt</w:t>
                </w:r>
              </w:smartTag>
            </w:smartTag>
            <w:r w:rsidRPr="00C92C41">
              <w:rPr>
                <w:sz w:val="20"/>
              </w:rPr>
              <w:t xml:space="preserve"> fund has 3 board seats</w:t>
            </w:r>
          </w:p>
        </w:tc>
        <w:tc>
          <w:tcPr>
            <w:tcW w:w="2576" w:type="dxa"/>
          </w:tcPr>
          <w:p w14:paraId="557F1EA5" w14:textId="77777777" w:rsidR="00A07C38" w:rsidRPr="00C92C41" w:rsidRDefault="00C07ADB" w:rsidP="00C92C41">
            <w:pPr>
              <w:jc w:val="left"/>
              <w:rPr>
                <w:sz w:val="20"/>
              </w:rPr>
            </w:pPr>
            <w:r w:rsidRPr="00C92C41">
              <w:rPr>
                <w:sz w:val="20"/>
              </w:rPr>
              <w:t>Bank covenants</w:t>
            </w:r>
            <w:r w:rsidR="005B5825" w:rsidRPr="00C92C41">
              <w:rPr>
                <w:sz w:val="20"/>
              </w:rPr>
              <w:t>:</w:t>
            </w:r>
          </w:p>
          <w:p w14:paraId="08C78BC4" w14:textId="77777777" w:rsidR="005B5825" w:rsidRPr="00C92C41" w:rsidRDefault="005B5825" w:rsidP="00C92C41">
            <w:pPr>
              <w:jc w:val="left"/>
              <w:rPr>
                <w:sz w:val="20"/>
              </w:rPr>
            </w:pPr>
            <w:r w:rsidRPr="00C92C41">
              <w:rPr>
                <w:sz w:val="20"/>
              </w:rPr>
              <w:t xml:space="preserve">– </w:t>
            </w:r>
            <w:r w:rsidR="007F0A1B">
              <w:rPr>
                <w:sz w:val="20"/>
              </w:rPr>
              <w:t xml:space="preserve">restrictions on </w:t>
            </w:r>
            <w:r w:rsidRPr="00C92C41">
              <w:rPr>
                <w:sz w:val="20"/>
              </w:rPr>
              <w:t>dividend/salary payouts</w:t>
            </w:r>
          </w:p>
          <w:p w14:paraId="6A49A04A" w14:textId="77777777" w:rsidR="005B5825" w:rsidRPr="00C92C41" w:rsidRDefault="005B5825" w:rsidP="00C92C41">
            <w:pPr>
              <w:jc w:val="left"/>
              <w:rPr>
                <w:sz w:val="20"/>
              </w:rPr>
            </w:pPr>
            <w:r w:rsidRPr="00C92C41">
              <w:rPr>
                <w:sz w:val="20"/>
              </w:rPr>
              <w:t>– new debt</w:t>
            </w:r>
          </w:p>
          <w:p w14:paraId="259718AB" w14:textId="77777777" w:rsidR="00A24225" w:rsidRPr="00C92C41" w:rsidRDefault="00A24225" w:rsidP="00C92C41">
            <w:pPr>
              <w:jc w:val="left"/>
              <w:rPr>
                <w:sz w:val="20"/>
              </w:rPr>
            </w:pPr>
            <w:r w:rsidRPr="00C92C41">
              <w:rPr>
                <w:sz w:val="20"/>
              </w:rPr>
              <w:t>Preferred dividend required</w:t>
            </w:r>
          </w:p>
        </w:tc>
        <w:tc>
          <w:tcPr>
            <w:tcW w:w="2576" w:type="dxa"/>
          </w:tcPr>
          <w:p w14:paraId="309A0D2C" w14:textId="77777777" w:rsidR="00A07C38" w:rsidRPr="00C92C41" w:rsidRDefault="00623349" w:rsidP="00C92C41">
            <w:pPr>
              <w:jc w:val="left"/>
              <w:rPr>
                <w:sz w:val="20"/>
              </w:rPr>
            </w:pPr>
            <w:r w:rsidRPr="00C92C41">
              <w:rPr>
                <w:sz w:val="20"/>
              </w:rPr>
              <w:t>Probable debt covenants</w:t>
            </w:r>
          </w:p>
        </w:tc>
      </w:tr>
      <w:tr w:rsidR="00A07C38" w14:paraId="17DFEC92" w14:textId="77777777" w:rsidTr="00C92C41">
        <w:tc>
          <w:tcPr>
            <w:tcW w:w="1365" w:type="dxa"/>
          </w:tcPr>
          <w:p w14:paraId="69454CB4" w14:textId="77777777" w:rsidR="00A07C38" w:rsidRPr="00C92C41" w:rsidRDefault="00623349" w:rsidP="00913087">
            <w:pPr>
              <w:rPr>
                <w:i/>
                <w:sz w:val="20"/>
              </w:rPr>
            </w:pPr>
            <w:r w:rsidRPr="00C92C41">
              <w:rPr>
                <w:i/>
                <w:sz w:val="20"/>
              </w:rPr>
              <w:t>Reporting requirements</w:t>
            </w:r>
          </w:p>
        </w:tc>
        <w:tc>
          <w:tcPr>
            <w:tcW w:w="2575" w:type="dxa"/>
          </w:tcPr>
          <w:p w14:paraId="229C91D9" w14:textId="77777777" w:rsidR="005B5825" w:rsidRPr="00C92C41" w:rsidRDefault="005B5825" w:rsidP="00C92C41">
            <w:pPr>
              <w:jc w:val="left"/>
              <w:rPr>
                <w:sz w:val="20"/>
              </w:rPr>
            </w:pPr>
            <w:r w:rsidRPr="00C92C41">
              <w:rPr>
                <w:sz w:val="20"/>
              </w:rPr>
              <w:t>CRTC</w:t>
            </w:r>
          </w:p>
          <w:p w14:paraId="6B94005B" w14:textId="77777777" w:rsidR="00623349" w:rsidRPr="00C92C41" w:rsidRDefault="00623349" w:rsidP="00C92C41">
            <w:pPr>
              <w:jc w:val="left"/>
              <w:rPr>
                <w:sz w:val="20"/>
              </w:rPr>
            </w:pPr>
            <w:smartTag w:uri="urn:schemas-microsoft-com:office:smarttags" w:element="country-region">
              <w:r w:rsidRPr="00C92C41">
                <w:rPr>
                  <w:sz w:val="20"/>
                </w:rPr>
                <w:t>Egypt</w:t>
              </w:r>
            </w:smartTag>
            <w:r w:rsidRPr="00C92C41">
              <w:rPr>
                <w:sz w:val="20"/>
              </w:rPr>
              <w:t xml:space="preserve"> fund; </w:t>
            </w:r>
            <w:smartTag w:uri="urn:schemas-microsoft-com:office:smarttags" w:element="country-region">
              <w:smartTag w:uri="urn:schemas-microsoft-com:office:smarttags" w:element="place">
                <w:r w:rsidRPr="00C92C41">
                  <w:rPr>
                    <w:sz w:val="20"/>
                  </w:rPr>
                  <w:t>Japan</w:t>
                </w:r>
              </w:smartTag>
            </w:smartTag>
            <w:r w:rsidRPr="00C92C41">
              <w:rPr>
                <w:sz w:val="20"/>
              </w:rPr>
              <w:t xml:space="preserve"> partner</w:t>
            </w:r>
          </w:p>
        </w:tc>
        <w:tc>
          <w:tcPr>
            <w:tcW w:w="2576" w:type="dxa"/>
          </w:tcPr>
          <w:p w14:paraId="27DE8AB0" w14:textId="77777777" w:rsidR="00A07C38" w:rsidRPr="00C92C41" w:rsidRDefault="005B5825" w:rsidP="00C92C41">
            <w:pPr>
              <w:jc w:val="left"/>
              <w:rPr>
                <w:sz w:val="20"/>
              </w:rPr>
            </w:pPr>
            <w:r w:rsidRPr="00C92C41">
              <w:rPr>
                <w:sz w:val="20"/>
              </w:rPr>
              <w:t>Pension fund</w:t>
            </w:r>
          </w:p>
          <w:p w14:paraId="1F7B3D82" w14:textId="77777777" w:rsidR="005B5825" w:rsidRPr="00C92C41" w:rsidRDefault="005B5825" w:rsidP="00C92C41">
            <w:pPr>
              <w:jc w:val="left"/>
              <w:rPr>
                <w:sz w:val="20"/>
              </w:rPr>
            </w:pPr>
            <w:r w:rsidRPr="00C92C41">
              <w:rPr>
                <w:sz w:val="20"/>
              </w:rPr>
              <w:t>Bank</w:t>
            </w:r>
          </w:p>
        </w:tc>
        <w:tc>
          <w:tcPr>
            <w:tcW w:w="2576" w:type="dxa"/>
          </w:tcPr>
          <w:p w14:paraId="55F36736" w14:textId="77777777" w:rsidR="00A07C38" w:rsidRPr="00C92C41" w:rsidRDefault="005B5825" w:rsidP="00C92C41">
            <w:pPr>
              <w:jc w:val="left"/>
              <w:rPr>
                <w:sz w:val="20"/>
              </w:rPr>
            </w:pPr>
            <w:r w:rsidRPr="00C92C41">
              <w:rPr>
                <w:sz w:val="20"/>
              </w:rPr>
              <w:t>Investment funds and banks</w:t>
            </w:r>
          </w:p>
          <w:p w14:paraId="75CB6B4A" w14:textId="77777777" w:rsidR="005B5825" w:rsidRPr="00C92C41" w:rsidRDefault="005B5825" w:rsidP="00C92C41">
            <w:pPr>
              <w:jc w:val="left"/>
              <w:rPr>
                <w:sz w:val="20"/>
              </w:rPr>
            </w:pPr>
            <w:r w:rsidRPr="00C92C41">
              <w:rPr>
                <w:sz w:val="20"/>
              </w:rPr>
              <w:t>Potential new customers</w:t>
            </w:r>
          </w:p>
        </w:tc>
      </w:tr>
      <w:tr w:rsidR="00A07C38" w14:paraId="5EA3BE41" w14:textId="77777777" w:rsidTr="00C92C41">
        <w:tc>
          <w:tcPr>
            <w:tcW w:w="1365" w:type="dxa"/>
          </w:tcPr>
          <w:p w14:paraId="04836C18" w14:textId="77777777" w:rsidR="00A07C38" w:rsidRPr="00C92C41" w:rsidRDefault="005B5825" w:rsidP="00913087">
            <w:pPr>
              <w:rPr>
                <w:i/>
                <w:sz w:val="20"/>
              </w:rPr>
            </w:pPr>
            <w:r w:rsidRPr="00C92C41">
              <w:rPr>
                <w:i/>
                <w:sz w:val="20"/>
              </w:rPr>
              <w:t>IPO probable?</w:t>
            </w:r>
          </w:p>
        </w:tc>
        <w:tc>
          <w:tcPr>
            <w:tcW w:w="2575" w:type="dxa"/>
          </w:tcPr>
          <w:p w14:paraId="40D67A09" w14:textId="77777777" w:rsidR="00A07C38" w:rsidRPr="00C92C41" w:rsidRDefault="005B5825" w:rsidP="00C92C41">
            <w:pPr>
              <w:jc w:val="left"/>
              <w:rPr>
                <w:sz w:val="20"/>
              </w:rPr>
            </w:pPr>
            <w:r w:rsidRPr="00C92C41">
              <w:rPr>
                <w:sz w:val="20"/>
              </w:rPr>
              <w:t>Not in the foreseeable future</w:t>
            </w:r>
          </w:p>
        </w:tc>
        <w:tc>
          <w:tcPr>
            <w:tcW w:w="2576" w:type="dxa"/>
          </w:tcPr>
          <w:p w14:paraId="7F147046" w14:textId="77777777" w:rsidR="00A07C38" w:rsidRPr="00C92C41" w:rsidRDefault="005B5825" w:rsidP="00C92C41">
            <w:pPr>
              <w:jc w:val="left"/>
              <w:rPr>
                <w:sz w:val="20"/>
              </w:rPr>
            </w:pPr>
            <w:r w:rsidRPr="00C92C41">
              <w:rPr>
                <w:sz w:val="20"/>
              </w:rPr>
              <w:t>Unlikely</w:t>
            </w:r>
          </w:p>
        </w:tc>
        <w:tc>
          <w:tcPr>
            <w:tcW w:w="2576" w:type="dxa"/>
          </w:tcPr>
          <w:p w14:paraId="4E2438CC" w14:textId="77777777" w:rsidR="00A07C38" w:rsidRPr="00C92C41" w:rsidRDefault="00F51D7A" w:rsidP="00DE333F">
            <w:pPr>
              <w:jc w:val="left"/>
              <w:rPr>
                <w:sz w:val="20"/>
              </w:rPr>
            </w:pPr>
            <w:r w:rsidRPr="00C92C41">
              <w:rPr>
                <w:sz w:val="20"/>
              </w:rPr>
              <w:t>Yes, a</w:t>
            </w:r>
            <w:r w:rsidR="00A24225" w:rsidRPr="00C92C41">
              <w:rPr>
                <w:sz w:val="20"/>
              </w:rPr>
              <w:t>ntic</w:t>
            </w:r>
            <w:r w:rsidR="00DE333F">
              <w:rPr>
                <w:sz w:val="20"/>
              </w:rPr>
              <w:t>i</w:t>
            </w:r>
            <w:r w:rsidR="00A24225" w:rsidRPr="00C92C41">
              <w:rPr>
                <w:sz w:val="20"/>
              </w:rPr>
              <w:t>pated in 2-3 years</w:t>
            </w:r>
          </w:p>
        </w:tc>
      </w:tr>
    </w:tbl>
    <w:p w14:paraId="4AC69CC7" w14:textId="77777777" w:rsidR="00A07C38" w:rsidRDefault="00A07C38" w:rsidP="00913087"/>
    <w:p w14:paraId="40795DFA" w14:textId="77777777" w:rsidR="00A07C38" w:rsidRPr="00845F80" w:rsidRDefault="00F51ECB" w:rsidP="00913087">
      <w:pPr>
        <w:rPr>
          <w:i/>
        </w:rPr>
      </w:pPr>
      <w:r>
        <w:br w:type="page"/>
      </w:r>
      <w:r w:rsidR="00845F80">
        <w:rPr>
          <w:i/>
        </w:rPr>
        <w:lastRenderedPageBreak/>
        <w:t>Prioritization</w:t>
      </w:r>
    </w:p>
    <w:p w14:paraId="0B1717F1" w14:textId="77777777" w:rsidR="00913087" w:rsidRDefault="00913087" w:rsidP="00913087"/>
    <w:p w14:paraId="0FFE1D0B" w14:textId="77777777" w:rsidR="00845F80" w:rsidRDefault="00845F80" w:rsidP="00913087">
      <w:r>
        <w:t>A possible ranking of significant factors may look as shown below</w:t>
      </w:r>
      <w:r w:rsidR="007F0A1B">
        <w:t xml:space="preserve"> from most significant to least significant</w:t>
      </w:r>
      <w:r>
        <w:t xml:space="preserve">. This </w:t>
      </w:r>
      <w:r w:rsidR="00475C7D">
        <w:t xml:space="preserve">listing </w:t>
      </w:r>
      <w:r>
        <w:t>is not definitive</w:t>
      </w:r>
      <w:r w:rsidR="00475C7D">
        <w:t xml:space="preserve">, but </w:t>
      </w:r>
      <w:r>
        <w:t>students</w:t>
      </w:r>
      <w:r w:rsidR="00475C7D">
        <w:t xml:space="preserve"> should exhibit some logic as to why they rank some factors as more important than others. </w:t>
      </w:r>
    </w:p>
    <w:p w14:paraId="22ACF415" w14:textId="77777777" w:rsidR="00845F80" w:rsidRDefault="00845F80" w:rsidP="009130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845F80" w14:paraId="77DD9632" w14:textId="77777777" w:rsidTr="00C92C41">
        <w:tc>
          <w:tcPr>
            <w:tcW w:w="2952" w:type="dxa"/>
          </w:tcPr>
          <w:p w14:paraId="601C8F3C" w14:textId="77777777" w:rsidR="00845F80" w:rsidRPr="00C92C41" w:rsidRDefault="00845F80" w:rsidP="00C92C41">
            <w:pPr>
              <w:jc w:val="center"/>
              <w:rPr>
                <w:b/>
                <w:sz w:val="20"/>
              </w:rPr>
            </w:pPr>
            <w:r w:rsidRPr="00C92C41">
              <w:rPr>
                <w:b/>
                <w:sz w:val="20"/>
              </w:rPr>
              <w:t>Breeze Inc.</w:t>
            </w:r>
          </w:p>
        </w:tc>
        <w:tc>
          <w:tcPr>
            <w:tcW w:w="2952" w:type="dxa"/>
          </w:tcPr>
          <w:p w14:paraId="42AFE72F" w14:textId="77777777" w:rsidR="00845F80" w:rsidRPr="00C92C41" w:rsidRDefault="00845F80" w:rsidP="00C92C41">
            <w:pPr>
              <w:jc w:val="center"/>
              <w:rPr>
                <w:b/>
                <w:sz w:val="20"/>
              </w:rPr>
            </w:pPr>
            <w:r w:rsidRPr="00C92C41">
              <w:rPr>
                <w:b/>
                <w:sz w:val="20"/>
              </w:rPr>
              <w:t>Saturn Software</w:t>
            </w:r>
          </w:p>
        </w:tc>
        <w:tc>
          <w:tcPr>
            <w:tcW w:w="2952" w:type="dxa"/>
          </w:tcPr>
          <w:p w14:paraId="7144CF9C" w14:textId="77777777" w:rsidR="00845F80" w:rsidRPr="00C92C41" w:rsidRDefault="00845F80" w:rsidP="00C92C41">
            <w:pPr>
              <w:jc w:val="center"/>
              <w:rPr>
                <w:b/>
                <w:sz w:val="20"/>
              </w:rPr>
            </w:pPr>
            <w:r w:rsidRPr="00C92C41">
              <w:rPr>
                <w:b/>
                <w:sz w:val="20"/>
              </w:rPr>
              <w:t>Intern’l Auto Parts</w:t>
            </w:r>
          </w:p>
        </w:tc>
      </w:tr>
      <w:tr w:rsidR="00845F80" w14:paraId="5112474F" w14:textId="77777777" w:rsidTr="00C92C41">
        <w:tc>
          <w:tcPr>
            <w:tcW w:w="2952" w:type="dxa"/>
          </w:tcPr>
          <w:p w14:paraId="0AD7E631" w14:textId="77777777" w:rsidR="00845F80" w:rsidRPr="00C92C41" w:rsidRDefault="00475C7D" w:rsidP="00C92C41">
            <w:pPr>
              <w:jc w:val="left"/>
              <w:rPr>
                <w:sz w:val="20"/>
              </w:rPr>
            </w:pPr>
            <w:r w:rsidRPr="00C92C41">
              <w:rPr>
                <w:sz w:val="20"/>
              </w:rPr>
              <w:t>Major foreign investor</w:t>
            </w:r>
            <w:r w:rsidR="00BB11FF" w:rsidRPr="00C92C41">
              <w:rPr>
                <w:sz w:val="20"/>
              </w:rPr>
              <w:t xml:space="preserve"> must be kept happy</w:t>
            </w:r>
            <w:r w:rsidR="00F51D7A" w:rsidRPr="00C92C41">
              <w:rPr>
                <w:sz w:val="20"/>
              </w:rPr>
              <w:t>—ASPE may not be understood</w:t>
            </w:r>
            <w:r w:rsidR="007F0A1B">
              <w:rPr>
                <w:sz w:val="20"/>
              </w:rPr>
              <w:t xml:space="preserve"> so IFRS may be more appropriate </w:t>
            </w:r>
          </w:p>
        </w:tc>
        <w:tc>
          <w:tcPr>
            <w:tcW w:w="2952" w:type="dxa"/>
          </w:tcPr>
          <w:p w14:paraId="17A69A2E" w14:textId="77777777" w:rsidR="00845F80" w:rsidRPr="00C92C41" w:rsidRDefault="00475C7D" w:rsidP="00C92C41">
            <w:pPr>
              <w:jc w:val="left"/>
              <w:rPr>
                <w:sz w:val="20"/>
              </w:rPr>
            </w:pPr>
            <w:r w:rsidRPr="00C92C41">
              <w:rPr>
                <w:sz w:val="20"/>
              </w:rPr>
              <w:t xml:space="preserve">Liquidity </w:t>
            </w:r>
            <w:r w:rsidR="00F51D7A" w:rsidRPr="00C92C41">
              <w:rPr>
                <w:sz w:val="20"/>
              </w:rPr>
              <w:t>requirements—cash flow</w:t>
            </w:r>
            <w:r w:rsidR="007F0A1B">
              <w:rPr>
                <w:sz w:val="20"/>
              </w:rPr>
              <w:t xml:space="preserve"> </w:t>
            </w:r>
            <w:r w:rsidR="00F51D7A" w:rsidRPr="00C92C41">
              <w:rPr>
                <w:sz w:val="20"/>
              </w:rPr>
              <w:t>prediction primary objective</w:t>
            </w:r>
          </w:p>
        </w:tc>
        <w:tc>
          <w:tcPr>
            <w:tcW w:w="2952" w:type="dxa"/>
          </w:tcPr>
          <w:p w14:paraId="6D7588E9" w14:textId="77777777" w:rsidR="00845F80" w:rsidRPr="00C92C41" w:rsidRDefault="00475C7D" w:rsidP="00C92C41">
            <w:pPr>
              <w:jc w:val="left"/>
              <w:rPr>
                <w:sz w:val="20"/>
              </w:rPr>
            </w:pPr>
            <w:r w:rsidRPr="00C92C41">
              <w:rPr>
                <w:sz w:val="20"/>
              </w:rPr>
              <w:t>IPO likely in near future</w:t>
            </w:r>
            <w:r w:rsidR="00F51D7A" w:rsidRPr="00C92C41">
              <w:rPr>
                <w:sz w:val="20"/>
              </w:rPr>
              <w:t xml:space="preserve">— compliance with </w:t>
            </w:r>
            <w:smartTag w:uri="urn:schemas-microsoft-com:office:smarttags" w:element="stockticker">
              <w:r w:rsidR="00F51D7A" w:rsidRPr="00C92C41">
                <w:rPr>
                  <w:sz w:val="20"/>
                </w:rPr>
                <w:t>IFRS</w:t>
              </w:r>
            </w:smartTag>
            <w:r w:rsidR="0086558F" w:rsidRPr="00C92C41">
              <w:rPr>
                <w:sz w:val="20"/>
              </w:rPr>
              <w:t xml:space="preserve"> will be necessary (ASPE not appropriate)</w:t>
            </w:r>
          </w:p>
        </w:tc>
      </w:tr>
      <w:tr w:rsidR="00845F80" w14:paraId="55CA023C" w14:textId="77777777" w:rsidTr="00C92C41">
        <w:tc>
          <w:tcPr>
            <w:tcW w:w="2952" w:type="dxa"/>
          </w:tcPr>
          <w:p w14:paraId="4546747F" w14:textId="77777777" w:rsidR="00845F80" w:rsidRPr="00C92C41" w:rsidRDefault="00BB11FF" w:rsidP="00C92C41">
            <w:pPr>
              <w:jc w:val="left"/>
              <w:rPr>
                <w:sz w:val="20"/>
              </w:rPr>
            </w:pPr>
            <w:r w:rsidRPr="00C92C41">
              <w:rPr>
                <w:sz w:val="20"/>
              </w:rPr>
              <w:t>Important</w:t>
            </w:r>
            <w:r w:rsidR="00475C7D" w:rsidRPr="00C92C41">
              <w:rPr>
                <w:sz w:val="20"/>
              </w:rPr>
              <w:t xml:space="preserve"> Japanese partner</w:t>
            </w:r>
            <w:r w:rsidR="007F0A1B">
              <w:rPr>
                <w:sz w:val="20"/>
              </w:rPr>
              <w:t xml:space="preserve"> (Telyu)</w:t>
            </w:r>
            <w:r w:rsidR="000114B5">
              <w:rPr>
                <w:sz w:val="20"/>
              </w:rPr>
              <w:t xml:space="preserve"> – </w:t>
            </w:r>
            <w:r w:rsidR="007F0A1B">
              <w:rPr>
                <w:sz w:val="20"/>
              </w:rPr>
              <w:t xml:space="preserve">there </w:t>
            </w:r>
            <w:r w:rsidR="000114B5">
              <w:rPr>
                <w:sz w:val="20"/>
              </w:rPr>
              <w:t>may be a bias to decrease revenue to decrease payment</w:t>
            </w:r>
            <w:r w:rsidR="007F0A1B">
              <w:rPr>
                <w:sz w:val="20"/>
              </w:rPr>
              <w:t xml:space="preserve"> to Telyu</w:t>
            </w:r>
          </w:p>
        </w:tc>
        <w:tc>
          <w:tcPr>
            <w:tcW w:w="2952" w:type="dxa"/>
          </w:tcPr>
          <w:p w14:paraId="3AEFFAF6" w14:textId="77777777" w:rsidR="00845F80" w:rsidRPr="00C92C41" w:rsidRDefault="00475C7D" w:rsidP="00C92C41">
            <w:pPr>
              <w:jc w:val="left"/>
              <w:rPr>
                <w:sz w:val="20"/>
              </w:rPr>
            </w:pPr>
            <w:r w:rsidRPr="00C92C41">
              <w:rPr>
                <w:sz w:val="20"/>
              </w:rPr>
              <w:t xml:space="preserve">Bank </w:t>
            </w:r>
            <w:r w:rsidR="00F51D7A" w:rsidRPr="00C92C41">
              <w:rPr>
                <w:sz w:val="20"/>
              </w:rPr>
              <w:t>covenants</w:t>
            </w:r>
            <w:r w:rsidR="00F51ECB" w:rsidRPr="00C92C41">
              <w:rPr>
                <w:sz w:val="20"/>
              </w:rPr>
              <w:t>—protect lines of credit to be able to pay preferred dividends</w:t>
            </w:r>
          </w:p>
        </w:tc>
        <w:tc>
          <w:tcPr>
            <w:tcW w:w="2952" w:type="dxa"/>
          </w:tcPr>
          <w:p w14:paraId="237B8C81" w14:textId="77777777" w:rsidR="00845F80" w:rsidRPr="00C92C41" w:rsidRDefault="0086558F" w:rsidP="00C92C41">
            <w:pPr>
              <w:jc w:val="left"/>
              <w:rPr>
                <w:sz w:val="20"/>
              </w:rPr>
            </w:pPr>
            <w:r w:rsidRPr="00C92C41">
              <w:rPr>
                <w:sz w:val="20"/>
              </w:rPr>
              <w:t>Reflect good management performance to help</w:t>
            </w:r>
            <w:r w:rsidR="00BB11FF" w:rsidRPr="00C92C41">
              <w:rPr>
                <w:sz w:val="20"/>
              </w:rPr>
              <w:t xml:space="preserve"> attract new auto companies as customers</w:t>
            </w:r>
          </w:p>
        </w:tc>
      </w:tr>
      <w:tr w:rsidR="00845F80" w14:paraId="181666F5" w14:textId="77777777" w:rsidTr="00C92C41">
        <w:tc>
          <w:tcPr>
            <w:tcW w:w="2952" w:type="dxa"/>
          </w:tcPr>
          <w:p w14:paraId="41C49BAD" w14:textId="77777777" w:rsidR="00845F80" w:rsidRPr="00C92C41" w:rsidRDefault="00475C7D" w:rsidP="00C92C41">
            <w:pPr>
              <w:jc w:val="left"/>
              <w:rPr>
                <w:sz w:val="20"/>
              </w:rPr>
            </w:pPr>
            <w:r w:rsidRPr="00C92C41">
              <w:rPr>
                <w:sz w:val="20"/>
              </w:rPr>
              <w:t>Need for major capital investment</w:t>
            </w:r>
            <w:r w:rsidR="005E5112">
              <w:rPr>
                <w:sz w:val="20"/>
              </w:rPr>
              <w:t>, major competitors are public</w:t>
            </w:r>
          </w:p>
        </w:tc>
        <w:tc>
          <w:tcPr>
            <w:tcW w:w="2952" w:type="dxa"/>
          </w:tcPr>
          <w:p w14:paraId="2E951A8F" w14:textId="77777777" w:rsidR="00845F80" w:rsidRPr="00C92C41" w:rsidRDefault="00F51ECB" w:rsidP="00C92C41">
            <w:pPr>
              <w:jc w:val="left"/>
              <w:rPr>
                <w:sz w:val="20"/>
              </w:rPr>
            </w:pPr>
            <w:r w:rsidRPr="00C92C41">
              <w:rPr>
                <w:sz w:val="20"/>
              </w:rPr>
              <w:t>Complex reporting not necessary; ASPE probably best, plus disclosure of salary information</w:t>
            </w:r>
          </w:p>
        </w:tc>
        <w:tc>
          <w:tcPr>
            <w:tcW w:w="2952" w:type="dxa"/>
          </w:tcPr>
          <w:p w14:paraId="2928AA34" w14:textId="77777777" w:rsidR="00845F80" w:rsidRPr="00C92C41" w:rsidRDefault="0086558F" w:rsidP="00C92C41">
            <w:pPr>
              <w:jc w:val="left"/>
              <w:rPr>
                <w:sz w:val="20"/>
              </w:rPr>
            </w:pPr>
            <w:r w:rsidRPr="00C92C41">
              <w:rPr>
                <w:sz w:val="20"/>
              </w:rPr>
              <w:t>Satisfy investment funds’ reporting expections (e.g., re covenants)</w:t>
            </w:r>
          </w:p>
        </w:tc>
      </w:tr>
      <w:tr w:rsidR="00845F80" w14:paraId="1EB5F07A" w14:textId="77777777" w:rsidTr="00C92C41">
        <w:tc>
          <w:tcPr>
            <w:tcW w:w="2952" w:type="dxa"/>
          </w:tcPr>
          <w:p w14:paraId="2E788538" w14:textId="77777777" w:rsidR="00845F80" w:rsidRPr="00C92C41" w:rsidRDefault="0086558F" w:rsidP="00C92C41">
            <w:pPr>
              <w:jc w:val="left"/>
              <w:rPr>
                <w:sz w:val="20"/>
              </w:rPr>
            </w:pPr>
            <w:r w:rsidRPr="00C92C41">
              <w:rPr>
                <w:sz w:val="20"/>
              </w:rPr>
              <w:t>Clear reporting of revenues on which 2% fee is based</w:t>
            </w:r>
          </w:p>
        </w:tc>
        <w:tc>
          <w:tcPr>
            <w:tcW w:w="2952" w:type="dxa"/>
          </w:tcPr>
          <w:p w14:paraId="609B825E" w14:textId="77777777" w:rsidR="00845F80" w:rsidRPr="00C92C41" w:rsidRDefault="00F51ECB" w:rsidP="00C92C41">
            <w:pPr>
              <w:jc w:val="left"/>
              <w:rPr>
                <w:sz w:val="20"/>
              </w:rPr>
            </w:pPr>
            <w:r w:rsidRPr="00C92C41">
              <w:rPr>
                <w:sz w:val="20"/>
              </w:rPr>
              <w:t>Continuously profitable</w:t>
            </w:r>
            <w:r w:rsidR="0086558F" w:rsidRPr="00C92C41">
              <w:rPr>
                <w:sz w:val="20"/>
              </w:rPr>
              <w:t>—minimize income taxes to conserve cash</w:t>
            </w:r>
          </w:p>
        </w:tc>
        <w:tc>
          <w:tcPr>
            <w:tcW w:w="2952" w:type="dxa"/>
          </w:tcPr>
          <w:p w14:paraId="48E545DC" w14:textId="77777777" w:rsidR="00845F80" w:rsidRPr="00C92C41" w:rsidRDefault="0086558F" w:rsidP="00C92C41">
            <w:pPr>
              <w:jc w:val="left"/>
              <w:rPr>
                <w:sz w:val="20"/>
              </w:rPr>
            </w:pPr>
            <w:r w:rsidRPr="00C92C41">
              <w:rPr>
                <w:sz w:val="20"/>
              </w:rPr>
              <w:t>Exhibit su</w:t>
            </w:r>
            <w:r w:rsidR="000114B5">
              <w:rPr>
                <w:sz w:val="20"/>
              </w:rPr>
              <w:t>c</w:t>
            </w:r>
            <w:r w:rsidRPr="00C92C41">
              <w:rPr>
                <w:sz w:val="20"/>
              </w:rPr>
              <w:t>cess in attracting new customers</w:t>
            </w:r>
          </w:p>
        </w:tc>
      </w:tr>
      <w:tr w:rsidR="0086558F" w14:paraId="1FE8D96D" w14:textId="77777777" w:rsidTr="00C92C41">
        <w:tc>
          <w:tcPr>
            <w:tcW w:w="2952" w:type="dxa"/>
          </w:tcPr>
          <w:p w14:paraId="44D72CD8" w14:textId="77777777" w:rsidR="0086558F" w:rsidRPr="00C92C41" w:rsidRDefault="000114B5" w:rsidP="00C92C41">
            <w:pPr>
              <w:jc w:val="left"/>
              <w:rPr>
                <w:sz w:val="20"/>
              </w:rPr>
            </w:pPr>
            <w:r>
              <w:rPr>
                <w:sz w:val="20"/>
              </w:rPr>
              <w:t>CRTC requirements</w:t>
            </w:r>
          </w:p>
        </w:tc>
        <w:tc>
          <w:tcPr>
            <w:tcW w:w="2952" w:type="dxa"/>
          </w:tcPr>
          <w:p w14:paraId="0DE040F9" w14:textId="77777777" w:rsidR="0086558F" w:rsidRPr="00C92C41" w:rsidRDefault="000114B5" w:rsidP="00C92C41">
            <w:pPr>
              <w:jc w:val="left"/>
              <w:rPr>
                <w:sz w:val="20"/>
              </w:rPr>
            </w:pPr>
            <w:r>
              <w:rPr>
                <w:sz w:val="20"/>
              </w:rPr>
              <w:t>Employee profit sharing plan</w:t>
            </w:r>
          </w:p>
        </w:tc>
        <w:tc>
          <w:tcPr>
            <w:tcW w:w="2952" w:type="dxa"/>
          </w:tcPr>
          <w:p w14:paraId="6F295683" w14:textId="77777777" w:rsidR="0086558F" w:rsidRPr="00C92C41" w:rsidRDefault="000114B5" w:rsidP="00C92C41">
            <w:pPr>
              <w:jc w:val="left"/>
              <w:rPr>
                <w:sz w:val="20"/>
              </w:rPr>
            </w:pPr>
            <w:r>
              <w:rPr>
                <w:sz w:val="20"/>
              </w:rPr>
              <w:t>Show strong profitability to attract high stock price on IPO</w:t>
            </w:r>
          </w:p>
        </w:tc>
      </w:tr>
    </w:tbl>
    <w:p w14:paraId="42E9EB90" w14:textId="77777777" w:rsidR="00913087" w:rsidRDefault="00913087" w:rsidP="00913087"/>
    <w:p w14:paraId="22FEB94C" w14:textId="77777777" w:rsidR="00845F80" w:rsidRDefault="00845F80" w:rsidP="00913087"/>
    <w:p w14:paraId="2117651D" w14:textId="77777777" w:rsidR="00BF3984" w:rsidRPr="00AC30E5" w:rsidRDefault="00913087">
      <w:pPr>
        <w:rPr>
          <w:rFonts w:ascii="Franklin Gothic Book" w:hAnsi="Franklin Gothic Book"/>
          <w:b/>
          <w:sz w:val="28"/>
          <w:lang w:val="es-ES"/>
        </w:rPr>
      </w:pPr>
      <w:r w:rsidRPr="00AC30E5">
        <w:rPr>
          <w:lang w:val="es-ES"/>
        </w:rPr>
        <w:br w:type="page"/>
      </w:r>
      <w:r w:rsidR="00BF3984" w:rsidRPr="00AC30E5">
        <w:rPr>
          <w:rFonts w:ascii="Franklin Gothic Book" w:hAnsi="Franklin Gothic Book"/>
          <w:b/>
          <w:sz w:val="28"/>
          <w:lang w:val="es-ES"/>
        </w:rPr>
        <w:lastRenderedPageBreak/>
        <w:t>Assignments</w:t>
      </w:r>
    </w:p>
    <w:p w14:paraId="198ECE79" w14:textId="77777777" w:rsidR="00A47052" w:rsidRPr="00AC30E5" w:rsidRDefault="00A47052">
      <w:pPr>
        <w:rPr>
          <w:rFonts w:ascii="Franklin Gothic Book" w:hAnsi="Franklin Gothic Book"/>
          <w:b/>
          <w:sz w:val="28"/>
          <w:lang w:val="es-ES"/>
        </w:rPr>
      </w:pPr>
    </w:p>
    <w:p w14:paraId="1693AFA2" w14:textId="77777777" w:rsidR="00A47052" w:rsidRPr="00AC30E5" w:rsidRDefault="00A47052">
      <w:pPr>
        <w:rPr>
          <w:rFonts w:ascii="Times New Roman" w:hAnsi="Times New Roman"/>
          <w:b/>
          <w:sz w:val="28"/>
          <w:lang w:val="es-ES"/>
        </w:rPr>
      </w:pPr>
      <w:r w:rsidRPr="00AC30E5">
        <w:rPr>
          <w:rFonts w:ascii="Times New Roman" w:hAnsi="Times New Roman"/>
          <w:b/>
          <w:sz w:val="28"/>
          <w:lang w:val="es-ES"/>
        </w:rPr>
        <w:t>Technical Review</w:t>
      </w:r>
    </w:p>
    <w:p w14:paraId="3AC58BC1" w14:textId="77777777" w:rsidR="00BF3984" w:rsidRPr="00AC30E5" w:rsidRDefault="00BF3984">
      <w:pPr>
        <w:rPr>
          <w:b/>
          <w:sz w:val="28"/>
          <w:lang w:val="es-ES"/>
        </w:rPr>
      </w:pPr>
    </w:p>
    <w:p w14:paraId="478F43E7" w14:textId="59DE4126" w:rsidR="00BF3984" w:rsidRPr="00AC30E5" w:rsidRDefault="00A47052">
      <w:pPr>
        <w:rPr>
          <w:b/>
          <w:szCs w:val="24"/>
          <w:lang w:val="es-ES"/>
        </w:rPr>
      </w:pPr>
      <w:r w:rsidRPr="00AC30E5">
        <w:rPr>
          <w:b/>
          <w:szCs w:val="24"/>
          <w:lang w:val="es-ES"/>
        </w:rPr>
        <w:t>T</w:t>
      </w:r>
      <w:r w:rsidR="00176BD9" w:rsidRPr="00AC30E5">
        <w:rPr>
          <w:b/>
          <w:szCs w:val="24"/>
          <w:lang w:val="es-ES"/>
        </w:rPr>
        <w:t>R</w:t>
      </w:r>
      <w:r w:rsidR="00BF3984" w:rsidRPr="00AC30E5">
        <w:rPr>
          <w:b/>
          <w:szCs w:val="24"/>
          <w:lang w:val="es-ES"/>
        </w:rPr>
        <w:t xml:space="preserve"> 1-1</w:t>
      </w:r>
      <w:r w:rsidR="008B1727" w:rsidRPr="00AC30E5">
        <w:rPr>
          <w:b/>
          <w:szCs w:val="24"/>
          <w:lang w:val="es-ES"/>
        </w:rPr>
        <w:t xml:space="preserve"> </w:t>
      </w:r>
      <w:r w:rsidR="008B1727" w:rsidRPr="00AC30E5">
        <w:rPr>
          <w:szCs w:val="24"/>
          <w:lang w:val="es-ES"/>
        </w:rPr>
        <w:t>(LO1.1,</w:t>
      </w:r>
      <w:r w:rsidR="008B1727" w:rsidRPr="00AC30E5">
        <w:rPr>
          <w:b/>
          <w:szCs w:val="24"/>
          <w:lang w:val="es-ES"/>
        </w:rPr>
        <w:t xml:space="preserve"> </w:t>
      </w:r>
      <w:r w:rsidR="008B1727" w:rsidRPr="00AC30E5">
        <w:rPr>
          <w:lang w:val="es-ES"/>
        </w:rPr>
        <w:t>LO1.2, LO1.3, LO1.4, LO1.5)</w:t>
      </w:r>
    </w:p>
    <w:p w14:paraId="5E2CD81F" w14:textId="77777777" w:rsidR="009A0EBB" w:rsidRDefault="009A0EBB">
      <w:pPr>
        <w:rPr>
          <w:szCs w:val="24"/>
        </w:rPr>
      </w:pPr>
      <w:r>
        <w:rPr>
          <w:szCs w:val="24"/>
        </w:rPr>
        <w:t xml:space="preserve">The </w:t>
      </w:r>
      <w:r w:rsidR="00D458CF">
        <w:rPr>
          <w:szCs w:val="24"/>
        </w:rPr>
        <w:t xml:space="preserve">question </w:t>
      </w:r>
      <w:r>
        <w:rPr>
          <w:szCs w:val="24"/>
        </w:rPr>
        <w:t xml:space="preserve">statement has been repeated below followed by the correct statement in instances where the </w:t>
      </w:r>
      <w:r w:rsidR="00860215">
        <w:rPr>
          <w:szCs w:val="24"/>
        </w:rPr>
        <w:t>question</w:t>
      </w:r>
      <w:r>
        <w:rPr>
          <w:szCs w:val="24"/>
        </w:rPr>
        <w:t xml:space="preserve"> statement is false. </w:t>
      </w:r>
    </w:p>
    <w:p w14:paraId="796C09FB" w14:textId="77777777" w:rsidR="00BF3984" w:rsidRPr="006C7C2F" w:rsidRDefault="009A0EBB">
      <w:pPr>
        <w:rPr>
          <w:szCs w:val="24"/>
        </w:rPr>
      </w:pPr>
      <w:r>
        <w:rPr>
          <w:szCs w:val="24"/>
        </w:rPr>
        <w:t xml:space="preserve"> </w:t>
      </w:r>
    </w:p>
    <w:p w14:paraId="40C7D187" w14:textId="77777777" w:rsidR="00BA1464" w:rsidRPr="006C7C2F" w:rsidRDefault="00BA1464" w:rsidP="00F74CD6">
      <w:pPr>
        <w:pStyle w:val="bceasln"/>
        <w:tabs>
          <w:tab w:val="left" w:pos="360"/>
        </w:tabs>
        <w:ind w:left="711" w:hanging="711"/>
        <w:rPr>
          <w:sz w:val="24"/>
          <w:szCs w:val="24"/>
        </w:rPr>
      </w:pPr>
      <w:r w:rsidRPr="006C7C2F">
        <w:rPr>
          <w:b/>
          <w:sz w:val="24"/>
          <w:szCs w:val="24"/>
        </w:rPr>
        <w:t>F</w:t>
      </w:r>
      <w:r w:rsidRPr="006C7C2F">
        <w:rPr>
          <w:sz w:val="24"/>
          <w:szCs w:val="24"/>
        </w:rPr>
        <w:tab/>
      </w:r>
      <w:r w:rsidRPr="006C7C2F">
        <w:rPr>
          <w:sz w:val="24"/>
          <w:szCs w:val="24"/>
        </w:rPr>
        <w:t> </w:t>
      </w:r>
      <w:r w:rsidRPr="006C7C2F">
        <w:rPr>
          <w:sz w:val="24"/>
          <w:szCs w:val="24"/>
        </w:rPr>
        <w:t>1.</w:t>
      </w:r>
      <w:r w:rsidRPr="006C7C2F">
        <w:rPr>
          <w:sz w:val="24"/>
          <w:szCs w:val="24"/>
        </w:rPr>
        <w:tab/>
        <w:t>The International Accounting Standards Board has authority for setting Canadian accounting standards.</w:t>
      </w:r>
      <w:r w:rsidR="00176BD9" w:rsidRPr="006C7C2F">
        <w:rPr>
          <w:sz w:val="24"/>
          <w:szCs w:val="24"/>
        </w:rPr>
        <w:t xml:space="preserve"> Canadian standards are set and or endorsed the Accounting Standards Board in Canada.</w:t>
      </w:r>
    </w:p>
    <w:p w14:paraId="4CBDFEE2" w14:textId="77777777" w:rsidR="00BA1464" w:rsidRPr="006C7C2F" w:rsidRDefault="00BA1464" w:rsidP="00F74CD6">
      <w:pPr>
        <w:pStyle w:val="bceasln"/>
        <w:tabs>
          <w:tab w:val="left" w:pos="360"/>
        </w:tabs>
        <w:ind w:left="711" w:hanging="711"/>
        <w:rPr>
          <w:sz w:val="24"/>
          <w:szCs w:val="24"/>
        </w:rPr>
      </w:pPr>
      <w:r w:rsidRPr="006C7C2F">
        <w:rPr>
          <w:b/>
          <w:sz w:val="24"/>
          <w:szCs w:val="24"/>
        </w:rPr>
        <w:t>F</w:t>
      </w:r>
      <w:r w:rsidRPr="006C7C2F">
        <w:rPr>
          <w:sz w:val="24"/>
          <w:szCs w:val="24"/>
        </w:rPr>
        <w:t> </w:t>
      </w:r>
      <w:r w:rsidRPr="006C7C2F">
        <w:rPr>
          <w:sz w:val="24"/>
          <w:szCs w:val="24"/>
        </w:rPr>
        <w:tab/>
      </w:r>
      <w:r w:rsidRPr="006C7C2F">
        <w:rPr>
          <w:sz w:val="24"/>
          <w:szCs w:val="24"/>
        </w:rPr>
        <w:t> </w:t>
      </w:r>
      <w:r w:rsidRPr="006C7C2F">
        <w:rPr>
          <w:sz w:val="24"/>
          <w:szCs w:val="24"/>
        </w:rPr>
        <w:t>2.</w:t>
      </w:r>
      <w:r w:rsidRPr="006C7C2F">
        <w:rPr>
          <w:sz w:val="24"/>
          <w:szCs w:val="24"/>
        </w:rPr>
        <w:tab/>
        <w:t>All Canadian corporations must comply with international accounting standards.</w:t>
      </w:r>
      <w:r w:rsidR="00176BD9" w:rsidRPr="006C7C2F">
        <w:rPr>
          <w:sz w:val="24"/>
          <w:szCs w:val="24"/>
        </w:rPr>
        <w:t xml:space="preserve"> This only applies for publicly accountable enterprises. Private enterprises have a choice between ASPE and IFRS.</w:t>
      </w:r>
    </w:p>
    <w:p w14:paraId="2FE811F3" w14:textId="77777777" w:rsidR="00E82A30" w:rsidRPr="006C7C2F" w:rsidRDefault="00BA1464" w:rsidP="00F74CD6">
      <w:pPr>
        <w:pStyle w:val="bceasln"/>
        <w:tabs>
          <w:tab w:val="left" w:pos="360"/>
        </w:tabs>
        <w:ind w:left="711" w:hanging="711"/>
        <w:rPr>
          <w:sz w:val="24"/>
          <w:szCs w:val="24"/>
        </w:rPr>
      </w:pPr>
      <w:r w:rsidRPr="006C7C2F">
        <w:rPr>
          <w:b/>
          <w:sz w:val="24"/>
          <w:szCs w:val="24"/>
        </w:rPr>
        <w:t>T</w:t>
      </w:r>
      <w:r w:rsidRPr="006C7C2F">
        <w:rPr>
          <w:sz w:val="24"/>
          <w:szCs w:val="24"/>
        </w:rPr>
        <w:t> </w:t>
      </w:r>
      <w:r w:rsidRPr="006C7C2F">
        <w:rPr>
          <w:sz w:val="24"/>
          <w:szCs w:val="24"/>
        </w:rPr>
        <w:tab/>
      </w:r>
      <w:r w:rsidRPr="006C7C2F">
        <w:rPr>
          <w:sz w:val="24"/>
          <w:szCs w:val="24"/>
        </w:rPr>
        <w:t> </w:t>
      </w:r>
      <w:r w:rsidRPr="006C7C2F">
        <w:rPr>
          <w:sz w:val="24"/>
          <w:szCs w:val="24"/>
        </w:rPr>
        <w:t>3.</w:t>
      </w:r>
      <w:r w:rsidRPr="006C7C2F">
        <w:rPr>
          <w:sz w:val="24"/>
          <w:szCs w:val="24"/>
        </w:rPr>
        <w:tab/>
      </w:r>
      <w:r w:rsidR="00E82A30" w:rsidRPr="006C7C2F">
        <w:rPr>
          <w:sz w:val="24"/>
          <w:szCs w:val="24"/>
        </w:rPr>
        <w:t xml:space="preserve">Most </w:t>
      </w:r>
      <w:r w:rsidR="000114B5">
        <w:rPr>
          <w:sz w:val="24"/>
          <w:szCs w:val="24"/>
        </w:rPr>
        <w:t xml:space="preserve">public </w:t>
      </w:r>
      <w:r w:rsidR="00E82A30" w:rsidRPr="006C7C2F">
        <w:rPr>
          <w:sz w:val="24"/>
          <w:szCs w:val="24"/>
        </w:rPr>
        <w:t>Canadian corporations are listed on the Toronto Stock Exchange.</w:t>
      </w:r>
    </w:p>
    <w:p w14:paraId="750555B1" w14:textId="77777777" w:rsidR="00BA1464" w:rsidRPr="006C7C2F" w:rsidRDefault="00BA1464" w:rsidP="00F74CD6">
      <w:pPr>
        <w:pStyle w:val="bceasln"/>
        <w:tabs>
          <w:tab w:val="left" w:pos="360"/>
        </w:tabs>
        <w:ind w:left="711" w:hanging="711"/>
        <w:rPr>
          <w:sz w:val="24"/>
          <w:szCs w:val="24"/>
        </w:rPr>
      </w:pPr>
      <w:r w:rsidRPr="006C7C2F">
        <w:rPr>
          <w:b/>
          <w:sz w:val="24"/>
          <w:szCs w:val="24"/>
        </w:rPr>
        <w:t>T</w:t>
      </w:r>
      <w:r w:rsidRPr="006C7C2F">
        <w:rPr>
          <w:sz w:val="24"/>
          <w:szCs w:val="24"/>
        </w:rPr>
        <w:t> </w:t>
      </w:r>
      <w:r w:rsidRPr="006C7C2F">
        <w:rPr>
          <w:sz w:val="24"/>
          <w:szCs w:val="24"/>
        </w:rPr>
        <w:tab/>
      </w:r>
      <w:r w:rsidRPr="006C7C2F">
        <w:rPr>
          <w:sz w:val="24"/>
          <w:szCs w:val="24"/>
        </w:rPr>
        <w:t> </w:t>
      </w:r>
      <w:r w:rsidRPr="006C7C2F">
        <w:rPr>
          <w:sz w:val="24"/>
          <w:szCs w:val="24"/>
        </w:rPr>
        <w:t>4.</w:t>
      </w:r>
      <w:r w:rsidRPr="006C7C2F">
        <w:rPr>
          <w:sz w:val="24"/>
          <w:szCs w:val="24"/>
        </w:rPr>
        <w:tab/>
      </w:r>
      <w:smartTag w:uri="urn:schemas-microsoft-com:office:smarttags" w:element="stockticker">
        <w:r w:rsidRPr="006C7C2F">
          <w:rPr>
            <w:sz w:val="24"/>
            <w:szCs w:val="24"/>
          </w:rPr>
          <w:t>IFRS</w:t>
        </w:r>
      </w:smartTag>
      <w:r w:rsidRPr="006C7C2F">
        <w:rPr>
          <w:sz w:val="24"/>
          <w:szCs w:val="24"/>
        </w:rPr>
        <w:t xml:space="preserve"> must be used for the financial statements of every Canadian public corporation.</w:t>
      </w:r>
    </w:p>
    <w:p w14:paraId="68B54CE7" w14:textId="77777777" w:rsidR="00BA1464" w:rsidRPr="006C7C2F" w:rsidRDefault="00BA1464" w:rsidP="00F74CD6">
      <w:pPr>
        <w:pStyle w:val="bceasln"/>
        <w:tabs>
          <w:tab w:val="left" w:pos="360"/>
        </w:tabs>
        <w:ind w:left="711" w:hanging="711"/>
        <w:rPr>
          <w:sz w:val="24"/>
          <w:szCs w:val="24"/>
        </w:rPr>
      </w:pPr>
      <w:r w:rsidRPr="006C7C2F">
        <w:rPr>
          <w:b/>
          <w:sz w:val="24"/>
          <w:szCs w:val="24"/>
        </w:rPr>
        <w:t>T</w:t>
      </w:r>
      <w:r w:rsidRPr="006C7C2F">
        <w:rPr>
          <w:sz w:val="24"/>
          <w:szCs w:val="24"/>
        </w:rPr>
        <w:t> </w:t>
      </w:r>
      <w:r w:rsidRPr="006C7C2F">
        <w:rPr>
          <w:sz w:val="24"/>
          <w:szCs w:val="24"/>
        </w:rPr>
        <w:tab/>
      </w:r>
      <w:r w:rsidRPr="006C7C2F">
        <w:rPr>
          <w:sz w:val="24"/>
          <w:szCs w:val="24"/>
        </w:rPr>
        <w:t> </w:t>
      </w:r>
      <w:r w:rsidRPr="006C7C2F">
        <w:rPr>
          <w:sz w:val="24"/>
          <w:szCs w:val="24"/>
        </w:rPr>
        <w:t>5.</w:t>
      </w:r>
      <w:r w:rsidRPr="006C7C2F">
        <w:rPr>
          <w:sz w:val="24"/>
          <w:szCs w:val="24"/>
        </w:rPr>
        <w:tab/>
        <w:t xml:space="preserve">The objective of general purpose financial reporting is to serve the information needs of </w:t>
      </w:r>
      <w:r w:rsidR="00DB3B48" w:rsidRPr="006C7C2F">
        <w:rPr>
          <w:sz w:val="24"/>
          <w:szCs w:val="24"/>
        </w:rPr>
        <w:t>a wide variety of users, including le</w:t>
      </w:r>
      <w:r w:rsidRPr="006C7C2F">
        <w:rPr>
          <w:sz w:val="24"/>
          <w:szCs w:val="24"/>
        </w:rPr>
        <w:t>nders</w:t>
      </w:r>
      <w:r w:rsidR="00DB3B48" w:rsidRPr="006C7C2F">
        <w:rPr>
          <w:sz w:val="24"/>
          <w:szCs w:val="24"/>
        </w:rPr>
        <w:t>,</w:t>
      </w:r>
      <w:r w:rsidRPr="006C7C2F">
        <w:rPr>
          <w:sz w:val="24"/>
          <w:szCs w:val="24"/>
        </w:rPr>
        <w:t xml:space="preserve"> shareholders</w:t>
      </w:r>
      <w:r w:rsidR="00DB3B48" w:rsidRPr="006C7C2F">
        <w:rPr>
          <w:sz w:val="24"/>
          <w:szCs w:val="24"/>
        </w:rPr>
        <w:t>, employees and regulators</w:t>
      </w:r>
      <w:r w:rsidRPr="006C7C2F">
        <w:rPr>
          <w:sz w:val="24"/>
          <w:szCs w:val="24"/>
        </w:rPr>
        <w:t>.</w:t>
      </w:r>
    </w:p>
    <w:p w14:paraId="0E541F73" w14:textId="29B072D0" w:rsidR="00BA1464" w:rsidRPr="006C7C2F" w:rsidRDefault="006C1B58" w:rsidP="00F74CD6">
      <w:pPr>
        <w:pStyle w:val="bceasln"/>
        <w:tabs>
          <w:tab w:val="left" w:pos="360"/>
        </w:tabs>
        <w:ind w:left="711" w:hanging="711"/>
        <w:rPr>
          <w:sz w:val="24"/>
          <w:szCs w:val="24"/>
        </w:rPr>
      </w:pPr>
      <w:r w:rsidRPr="006C7C2F">
        <w:rPr>
          <w:b/>
          <w:sz w:val="24"/>
          <w:szCs w:val="24"/>
        </w:rPr>
        <w:t>T</w:t>
      </w:r>
      <w:r w:rsidR="00BA1464" w:rsidRPr="006C7C2F">
        <w:rPr>
          <w:sz w:val="24"/>
          <w:szCs w:val="24"/>
        </w:rPr>
        <w:t> </w:t>
      </w:r>
      <w:r w:rsidR="00BA1464" w:rsidRPr="006C7C2F">
        <w:rPr>
          <w:sz w:val="24"/>
          <w:szCs w:val="24"/>
        </w:rPr>
        <w:tab/>
      </w:r>
      <w:r w:rsidR="00BA1464" w:rsidRPr="006C7C2F">
        <w:rPr>
          <w:sz w:val="24"/>
          <w:szCs w:val="24"/>
        </w:rPr>
        <w:t> </w:t>
      </w:r>
      <w:r w:rsidR="00BA1464" w:rsidRPr="006C7C2F">
        <w:rPr>
          <w:sz w:val="24"/>
          <w:szCs w:val="24"/>
        </w:rPr>
        <w:t>6.</w:t>
      </w:r>
      <w:r w:rsidR="00BA1464" w:rsidRPr="006C7C2F">
        <w:rPr>
          <w:sz w:val="24"/>
          <w:szCs w:val="24"/>
        </w:rPr>
        <w:tab/>
        <w:t xml:space="preserve">The primary objective of financial accounting is to </w:t>
      </w:r>
      <w:r w:rsidR="00AC30E5">
        <w:rPr>
          <w:sz w:val="24"/>
          <w:szCs w:val="24"/>
        </w:rPr>
        <w:t>provide</w:t>
      </w:r>
      <w:r w:rsidR="00BA1464" w:rsidRPr="006C7C2F">
        <w:rPr>
          <w:sz w:val="24"/>
          <w:szCs w:val="24"/>
        </w:rPr>
        <w:t xml:space="preserve"> information about an enterprise’s financial performance.</w:t>
      </w:r>
    </w:p>
    <w:p w14:paraId="4C4736F9" w14:textId="77777777" w:rsidR="00BA1464" w:rsidRPr="006C7C2F" w:rsidRDefault="00D60A8A" w:rsidP="00F74CD6">
      <w:pPr>
        <w:pStyle w:val="bceasln"/>
        <w:tabs>
          <w:tab w:val="left" w:pos="360"/>
        </w:tabs>
        <w:ind w:left="711" w:hanging="711"/>
        <w:rPr>
          <w:sz w:val="24"/>
          <w:szCs w:val="24"/>
        </w:rPr>
      </w:pPr>
      <w:r w:rsidRPr="006C7C2F">
        <w:rPr>
          <w:b/>
          <w:sz w:val="24"/>
          <w:szCs w:val="24"/>
        </w:rPr>
        <w:t>T</w:t>
      </w:r>
      <w:r w:rsidR="00BA1464" w:rsidRPr="006C7C2F">
        <w:rPr>
          <w:sz w:val="24"/>
          <w:szCs w:val="24"/>
        </w:rPr>
        <w:tab/>
      </w:r>
      <w:r w:rsidR="00BA1464" w:rsidRPr="006C7C2F">
        <w:rPr>
          <w:sz w:val="24"/>
          <w:szCs w:val="24"/>
        </w:rPr>
        <w:t> </w:t>
      </w:r>
      <w:r w:rsidR="00BA1464" w:rsidRPr="006C7C2F">
        <w:rPr>
          <w:sz w:val="24"/>
          <w:szCs w:val="24"/>
        </w:rPr>
        <w:t>7.</w:t>
      </w:r>
      <w:r w:rsidR="00BA1464" w:rsidRPr="006C7C2F">
        <w:rPr>
          <w:sz w:val="24"/>
          <w:szCs w:val="24"/>
        </w:rPr>
        <w:tab/>
        <w:t>If a corporation has a restrictive bond covenant that specifies a minimum times-interest-earned ratio, the corporation’s management will be motivated to pick discretion</w:t>
      </w:r>
      <w:r w:rsidR="00DB3B48" w:rsidRPr="006C7C2F">
        <w:rPr>
          <w:sz w:val="24"/>
          <w:szCs w:val="24"/>
        </w:rPr>
        <w:t>ary accounting policies that max</w:t>
      </w:r>
      <w:r w:rsidR="00BA1464" w:rsidRPr="006C7C2F">
        <w:rPr>
          <w:sz w:val="24"/>
          <w:szCs w:val="24"/>
        </w:rPr>
        <w:t>imize income. (Note: Times-interest-earned is calculated as income before interest and taxes, divided by interest.)</w:t>
      </w:r>
    </w:p>
    <w:p w14:paraId="6314D123" w14:textId="77777777" w:rsidR="00BA1464" w:rsidRPr="006C7C2F" w:rsidRDefault="00BA1464" w:rsidP="00F74CD6">
      <w:pPr>
        <w:pStyle w:val="bceasln"/>
        <w:tabs>
          <w:tab w:val="left" w:pos="360"/>
        </w:tabs>
        <w:ind w:left="711" w:hanging="711"/>
        <w:rPr>
          <w:sz w:val="24"/>
          <w:szCs w:val="24"/>
        </w:rPr>
      </w:pPr>
      <w:r w:rsidRPr="006C7C2F">
        <w:rPr>
          <w:b/>
          <w:sz w:val="24"/>
          <w:szCs w:val="24"/>
        </w:rPr>
        <w:t>F</w:t>
      </w:r>
      <w:r w:rsidRPr="006C7C2F">
        <w:rPr>
          <w:sz w:val="24"/>
          <w:szCs w:val="24"/>
        </w:rPr>
        <w:tab/>
      </w:r>
      <w:r w:rsidRPr="006C7C2F">
        <w:rPr>
          <w:sz w:val="24"/>
          <w:szCs w:val="24"/>
        </w:rPr>
        <w:t> </w:t>
      </w:r>
      <w:r w:rsidRPr="006C7C2F">
        <w:rPr>
          <w:sz w:val="24"/>
          <w:szCs w:val="24"/>
        </w:rPr>
        <w:t>8.</w:t>
      </w:r>
      <w:r w:rsidRPr="006C7C2F">
        <w:rPr>
          <w:sz w:val="24"/>
          <w:szCs w:val="24"/>
        </w:rPr>
        <w:tab/>
        <w:t>Income tax law has no impact on the accounting choices made by management.</w:t>
      </w:r>
      <w:r w:rsidR="000B53FE" w:rsidRPr="006C7C2F">
        <w:rPr>
          <w:sz w:val="24"/>
          <w:szCs w:val="24"/>
        </w:rPr>
        <w:t xml:space="preserve"> There are certain sections of the tax act that are based on GAAP so certain accounting policies will impact taxes paid.</w:t>
      </w:r>
    </w:p>
    <w:p w14:paraId="30A80E06" w14:textId="77777777" w:rsidR="00BA1464" w:rsidRPr="006C7C2F" w:rsidRDefault="00BA1464" w:rsidP="00F74CD6">
      <w:pPr>
        <w:pStyle w:val="bceasln"/>
        <w:tabs>
          <w:tab w:val="left" w:pos="360"/>
        </w:tabs>
        <w:ind w:left="711" w:hanging="711"/>
        <w:rPr>
          <w:sz w:val="24"/>
          <w:szCs w:val="24"/>
        </w:rPr>
      </w:pPr>
      <w:r w:rsidRPr="006C7C2F">
        <w:rPr>
          <w:b/>
          <w:sz w:val="24"/>
          <w:szCs w:val="24"/>
        </w:rPr>
        <w:t>T</w:t>
      </w:r>
      <w:r w:rsidRPr="006C7C2F">
        <w:rPr>
          <w:sz w:val="24"/>
          <w:szCs w:val="24"/>
        </w:rPr>
        <w:tab/>
      </w:r>
      <w:r w:rsidRPr="006C7C2F">
        <w:rPr>
          <w:sz w:val="24"/>
          <w:szCs w:val="24"/>
        </w:rPr>
        <w:t> </w:t>
      </w:r>
      <w:r w:rsidRPr="006C7C2F">
        <w:rPr>
          <w:sz w:val="24"/>
          <w:szCs w:val="24"/>
        </w:rPr>
        <w:t>9.</w:t>
      </w:r>
      <w:r w:rsidRPr="006C7C2F">
        <w:rPr>
          <w:sz w:val="24"/>
          <w:szCs w:val="24"/>
        </w:rPr>
        <w:tab/>
        <w:t>The presence of a control block can have an impact on a public company’s choice of accounting policies.</w:t>
      </w:r>
    </w:p>
    <w:p w14:paraId="3A2EBBA5" w14:textId="77777777" w:rsidR="00BA1464" w:rsidRPr="006C7C2F" w:rsidRDefault="00BA1464" w:rsidP="00A208B8">
      <w:pPr>
        <w:pStyle w:val="bceasln"/>
        <w:tabs>
          <w:tab w:val="left" w:pos="360"/>
        </w:tabs>
        <w:ind w:left="711" w:hanging="711"/>
        <w:rPr>
          <w:sz w:val="24"/>
          <w:szCs w:val="24"/>
        </w:rPr>
      </w:pPr>
      <w:r w:rsidRPr="006C7C2F">
        <w:rPr>
          <w:b/>
          <w:sz w:val="24"/>
          <w:szCs w:val="24"/>
        </w:rPr>
        <w:t>F</w:t>
      </w:r>
      <w:r w:rsidRPr="006C7C2F">
        <w:rPr>
          <w:sz w:val="24"/>
          <w:szCs w:val="24"/>
        </w:rPr>
        <w:tab/>
        <w:t>10.</w:t>
      </w:r>
      <w:r w:rsidRPr="006C7C2F">
        <w:rPr>
          <w:sz w:val="24"/>
          <w:szCs w:val="24"/>
        </w:rPr>
        <w:tab/>
      </w:r>
      <w:r w:rsidR="00E82A30" w:rsidRPr="006C7C2F">
        <w:rPr>
          <w:sz w:val="24"/>
          <w:szCs w:val="24"/>
        </w:rPr>
        <w:t xml:space="preserve">Any </w:t>
      </w:r>
      <w:r w:rsidR="00494424">
        <w:rPr>
          <w:sz w:val="24"/>
          <w:szCs w:val="24"/>
        </w:rPr>
        <w:t xml:space="preserve">Canadian </w:t>
      </w:r>
      <w:r w:rsidR="00E82A30" w:rsidRPr="006C7C2F">
        <w:rPr>
          <w:sz w:val="24"/>
          <w:szCs w:val="24"/>
        </w:rPr>
        <w:t xml:space="preserve">company </w:t>
      </w:r>
      <w:r w:rsidR="00494424">
        <w:rPr>
          <w:sz w:val="24"/>
          <w:szCs w:val="24"/>
        </w:rPr>
        <w:t>that uses</w:t>
      </w:r>
      <w:r w:rsidR="00E82A30" w:rsidRPr="006C7C2F">
        <w:rPr>
          <w:sz w:val="24"/>
          <w:szCs w:val="24"/>
        </w:rPr>
        <w:t xml:space="preserve"> U.S. GAAP must prepare its statements in U.S. dollars.</w:t>
      </w:r>
      <w:r w:rsidR="000B53FE" w:rsidRPr="006C7C2F">
        <w:rPr>
          <w:sz w:val="24"/>
          <w:szCs w:val="24"/>
        </w:rPr>
        <w:t xml:space="preserve"> No th</w:t>
      </w:r>
      <w:r w:rsidR="00A208B8" w:rsidRPr="006C7C2F">
        <w:rPr>
          <w:sz w:val="24"/>
          <w:szCs w:val="24"/>
        </w:rPr>
        <w:t>e</w:t>
      </w:r>
      <w:r w:rsidR="000B53FE" w:rsidRPr="006C7C2F">
        <w:rPr>
          <w:sz w:val="24"/>
          <w:szCs w:val="24"/>
        </w:rPr>
        <w:t xml:space="preserve"> currency a company </w:t>
      </w:r>
      <w:r w:rsidR="00A208B8" w:rsidRPr="006C7C2F">
        <w:rPr>
          <w:sz w:val="24"/>
          <w:szCs w:val="24"/>
        </w:rPr>
        <w:t>us</w:t>
      </w:r>
      <w:r w:rsidR="009A0EBB">
        <w:rPr>
          <w:sz w:val="24"/>
          <w:szCs w:val="24"/>
        </w:rPr>
        <w:t>es</w:t>
      </w:r>
      <w:r w:rsidR="00A208B8" w:rsidRPr="006C7C2F">
        <w:rPr>
          <w:sz w:val="24"/>
          <w:szCs w:val="24"/>
        </w:rPr>
        <w:t xml:space="preserve"> for reporting on their financial statements is not specified</w:t>
      </w:r>
      <w:r w:rsidR="00D458CF">
        <w:rPr>
          <w:sz w:val="24"/>
          <w:szCs w:val="24"/>
        </w:rPr>
        <w:t xml:space="preserve"> (in ASPE) or dependent on the functional currency for reporting (IFRS)</w:t>
      </w:r>
      <w:r w:rsidR="00A208B8" w:rsidRPr="006C7C2F">
        <w:rPr>
          <w:sz w:val="24"/>
          <w:szCs w:val="24"/>
        </w:rPr>
        <w:t>.</w:t>
      </w:r>
      <w:r w:rsidR="000B53FE" w:rsidRPr="006C7C2F">
        <w:rPr>
          <w:sz w:val="24"/>
          <w:szCs w:val="24"/>
        </w:rPr>
        <w:t xml:space="preserve"> </w:t>
      </w:r>
    </w:p>
    <w:p w14:paraId="2DE17D03" w14:textId="77777777" w:rsidR="00BF3984" w:rsidRDefault="00BF3984">
      <w:pPr>
        <w:tabs>
          <w:tab w:val="left" w:pos="360"/>
        </w:tabs>
      </w:pPr>
    </w:p>
    <w:p w14:paraId="3E85AE49" w14:textId="77777777" w:rsidR="00BA1464" w:rsidRDefault="00BA1464">
      <w:pPr>
        <w:tabs>
          <w:tab w:val="left" w:pos="360"/>
        </w:tabs>
      </w:pPr>
    </w:p>
    <w:p w14:paraId="297C0A53" w14:textId="3E7629D8" w:rsidR="00BF3984" w:rsidRPr="00AC30E5" w:rsidRDefault="00A1704C">
      <w:pPr>
        <w:tabs>
          <w:tab w:val="left" w:pos="360"/>
          <w:tab w:val="left" w:pos="3680"/>
          <w:tab w:val="left" w:pos="7640"/>
        </w:tabs>
        <w:rPr>
          <w:b/>
          <w:lang w:val="es-ES"/>
        </w:rPr>
      </w:pPr>
      <w:r w:rsidRPr="00AC30E5">
        <w:rPr>
          <w:b/>
          <w:lang w:val="es-ES"/>
        </w:rPr>
        <w:br w:type="page"/>
      </w:r>
      <w:r w:rsidR="00A47052" w:rsidRPr="00AC30E5">
        <w:rPr>
          <w:b/>
          <w:lang w:val="es-ES"/>
        </w:rPr>
        <w:lastRenderedPageBreak/>
        <w:t>T</w:t>
      </w:r>
      <w:r w:rsidRPr="00AC30E5">
        <w:rPr>
          <w:b/>
          <w:lang w:val="es-ES"/>
        </w:rPr>
        <w:t>R</w:t>
      </w:r>
      <w:r w:rsidR="00BF3984" w:rsidRPr="00AC30E5">
        <w:rPr>
          <w:b/>
          <w:lang w:val="es-ES"/>
        </w:rPr>
        <w:t xml:space="preserve"> 1-2</w:t>
      </w:r>
      <w:r w:rsidR="008B1727" w:rsidRPr="00AC30E5">
        <w:rPr>
          <w:b/>
          <w:lang w:val="es-ES"/>
        </w:rPr>
        <w:t xml:space="preserve"> </w:t>
      </w:r>
      <w:r w:rsidR="008B1727" w:rsidRPr="00AC30E5">
        <w:rPr>
          <w:szCs w:val="24"/>
          <w:lang w:val="es-ES"/>
        </w:rPr>
        <w:t>(LO1.1,</w:t>
      </w:r>
      <w:r w:rsidR="008B1727" w:rsidRPr="00AC30E5">
        <w:rPr>
          <w:b/>
          <w:szCs w:val="24"/>
          <w:lang w:val="es-ES"/>
        </w:rPr>
        <w:t xml:space="preserve"> </w:t>
      </w:r>
      <w:r w:rsidR="008B1727" w:rsidRPr="00AC30E5">
        <w:rPr>
          <w:lang w:val="es-ES"/>
        </w:rPr>
        <w:t>LO1.2, LO1.3, LO1.4, LO1.5)</w:t>
      </w:r>
    </w:p>
    <w:p w14:paraId="16A4E9E5" w14:textId="77777777" w:rsidR="00BF3984" w:rsidRPr="00AC30E5" w:rsidRDefault="00BF3984">
      <w:pPr>
        <w:tabs>
          <w:tab w:val="left" w:pos="360"/>
        </w:tabs>
        <w:ind w:left="800" w:hanging="800"/>
        <w:rPr>
          <w:lang w:val="es-ES"/>
        </w:rPr>
      </w:pPr>
    </w:p>
    <w:p w14:paraId="4FADC491" w14:textId="77777777" w:rsidR="00D458CF" w:rsidRDefault="00D458CF" w:rsidP="00D458CF">
      <w:pPr>
        <w:tabs>
          <w:tab w:val="left" w:pos="360"/>
        </w:tabs>
        <w:ind w:left="800" w:hanging="800"/>
        <w:jc w:val="left"/>
        <w:rPr>
          <w:szCs w:val="24"/>
        </w:rPr>
      </w:pPr>
      <w:r>
        <w:rPr>
          <w:szCs w:val="24"/>
        </w:rPr>
        <w:t xml:space="preserve">The question statement has been repeated below followed by the correct statement in </w:t>
      </w:r>
    </w:p>
    <w:p w14:paraId="585AC85D" w14:textId="77777777" w:rsidR="00D458CF" w:rsidRDefault="00D458CF" w:rsidP="00D458CF">
      <w:pPr>
        <w:tabs>
          <w:tab w:val="left" w:pos="360"/>
        </w:tabs>
        <w:ind w:left="800" w:hanging="800"/>
        <w:jc w:val="left"/>
        <w:rPr>
          <w:szCs w:val="24"/>
        </w:rPr>
      </w:pPr>
      <w:r>
        <w:rPr>
          <w:szCs w:val="24"/>
        </w:rPr>
        <w:t xml:space="preserve">instances where the </w:t>
      </w:r>
      <w:r w:rsidR="00860215">
        <w:rPr>
          <w:szCs w:val="24"/>
        </w:rPr>
        <w:t>question</w:t>
      </w:r>
      <w:r>
        <w:rPr>
          <w:szCs w:val="24"/>
        </w:rPr>
        <w:t xml:space="preserve"> statement is false.</w:t>
      </w:r>
    </w:p>
    <w:p w14:paraId="2DC581E3" w14:textId="77777777" w:rsidR="00D458CF" w:rsidRDefault="00D458CF" w:rsidP="002C7887">
      <w:pPr>
        <w:tabs>
          <w:tab w:val="left" w:pos="360"/>
        </w:tabs>
        <w:ind w:left="800" w:hanging="800"/>
        <w:jc w:val="left"/>
      </w:pPr>
    </w:p>
    <w:p w14:paraId="0D149CBD" w14:textId="77777777" w:rsidR="00F74CD6" w:rsidRPr="006C7C2F" w:rsidRDefault="00F74CD6" w:rsidP="003E4CC7">
      <w:pPr>
        <w:pStyle w:val="bceasln"/>
        <w:tabs>
          <w:tab w:val="left" w:pos="360"/>
        </w:tabs>
        <w:ind w:left="711" w:hanging="711"/>
        <w:rPr>
          <w:sz w:val="24"/>
          <w:szCs w:val="24"/>
        </w:rPr>
      </w:pPr>
      <w:r w:rsidRPr="006C7C2F">
        <w:rPr>
          <w:b/>
          <w:sz w:val="24"/>
          <w:szCs w:val="24"/>
        </w:rPr>
        <w:t>F</w:t>
      </w:r>
      <w:r w:rsidRPr="006C7C2F">
        <w:rPr>
          <w:sz w:val="24"/>
          <w:szCs w:val="24"/>
        </w:rPr>
        <w:tab/>
      </w:r>
      <w:r w:rsidRPr="006C7C2F">
        <w:rPr>
          <w:sz w:val="24"/>
          <w:szCs w:val="24"/>
        </w:rPr>
        <w:t> </w:t>
      </w:r>
      <w:r w:rsidRPr="006C7C2F">
        <w:rPr>
          <w:sz w:val="24"/>
          <w:szCs w:val="24"/>
        </w:rPr>
        <w:t>1.</w:t>
      </w:r>
      <w:r w:rsidRPr="006C7C2F">
        <w:rPr>
          <w:sz w:val="24"/>
          <w:szCs w:val="24"/>
        </w:rPr>
        <w:tab/>
      </w:r>
      <w:smartTag w:uri="urn:schemas-microsoft-com:office:smarttags" w:element="stockticker">
        <w:r w:rsidRPr="006C7C2F">
          <w:rPr>
            <w:sz w:val="24"/>
            <w:szCs w:val="24"/>
          </w:rPr>
          <w:t>IFRS</w:t>
        </w:r>
      </w:smartTag>
      <w:r w:rsidRPr="006C7C2F">
        <w:rPr>
          <w:sz w:val="24"/>
          <w:szCs w:val="24"/>
        </w:rPr>
        <w:t xml:space="preserve"> and the </w:t>
      </w:r>
      <w:r w:rsidRPr="006C7C2F">
        <w:rPr>
          <w:i/>
          <w:iCs/>
          <w:sz w:val="24"/>
          <w:szCs w:val="24"/>
        </w:rPr>
        <w:t>C</w:t>
      </w:r>
      <w:r w:rsidR="00DB3B48" w:rsidRPr="006C7C2F">
        <w:rPr>
          <w:i/>
          <w:iCs/>
          <w:sz w:val="24"/>
          <w:szCs w:val="24"/>
        </w:rPr>
        <w:t>P</w:t>
      </w:r>
      <w:r w:rsidRPr="006C7C2F">
        <w:rPr>
          <w:i/>
          <w:iCs/>
          <w:sz w:val="24"/>
          <w:szCs w:val="24"/>
        </w:rPr>
        <w:t xml:space="preserve">A </w:t>
      </w:r>
      <w:r w:rsidR="00DB3B48" w:rsidRPr="006C7C2F">
        <w:rPr>
          <w:i/>
          <w:iCs/>
          <w:sz w:val="24"/>
          <w:szCs w:val="24"/>
        </w:rPr>
        <w:t xml:space="preserve">Canada </w:t>
      </w:r>
      <w:r w:rsidRPr="006C7C2F">
        <w:rPr>
          <w:i/>
          <w:iCs/>
          <w:sz w:val="24"/>
          <w:szCs w:val="24"/>
        </w:rPr>
        <w:t>Handbook</w:t>
      </w:r>
      <w:r w:rsidR="00DB3B48" w:rsidRPr="006C7C2F">
        <w:rPr>
          <w:i/>
          <w:iCs/>
          <w:sz w:val="24"/>
          <w:szCs w:val="24"/>
        </w:rPr>
        <w:t>, Part II</w:t>
      </w:r>
      <w:r w:rsidRPr="006C7C2F">
        <w:rPr>
          <w:i/>
          <w:iCs/>
          <w:sz w:val="24"/>
          <w:szCs w:val="24"/>
        </w:rPr>
        <w:t xml:space="preserve"> </w:t>
      </w:r>
      <w:r w:rsidRPr="006C7C2F">
        <w:rPr>
          <w:sz w:val="24"/>
          <w:szCs w:val="24"/>
        </w:rPr>
        <w:t>have equal status in Canada for financial reporting.</w:t>
      </w:r>
      <w:r w:rsidR="00DB3B48" w:rsidRPr="006C7C2F">
        <w:rPr>
          <w:sz w:val="24"/>
          <w:szCs w:val="24"/>
        </w:rPr>
        <w:t xml:space="preserve"> In Canada Canadian companies must follow CPA Canada Handbook. </w:t>
      </w:r>
      <w:r w:rsidR="00DB3B48" w:rsidRPr="006C7C2F">
        <w:rPr>
          <w:i/>
          <w:sz w:val="24"/>
          <w:szCs w:val="24"/>
        </w:rPr>
        <w:t>CPA Canada Handbook, Part I</w:t>
      </w:r>
      <w:r w:rsidR="00DB3B48" w:rsidRPr="006C7C2F">
        <w:rPr>
          <w:sz w:val="24"/>
          <w:szCs w:val="24"/>
        </w:rPr>
        <w:t xml:space="preserve"> is based on IFRS and must be used by publicly accountable enterprises. </w:t>
      </w:r>
      <w:r w:rsidR="00DB3B48" w:rsidRPr="006C7C2F">
        <w:rPr>
          <w:i/>
          <w:iCs/>
          <w:sz w:val="24"/>
          <w:szCs w:val="24"/>
        </w:rPr>
        <w:t>CPA Canada Handbook, Part II</w:t>
      </w:r>
      <w:r w:rsidR="00DB3B48" w:rsidRPr="006C7C2F">
        <w:rPr>
          <w:iCs/>
          <w:sz w:val="24"/>
          <w:szCs w:val="24"/>
        </w:rPr>
        <w:t xml:space="preserve"> is an option for private enterprises.</w:t>
      </w:r>
    </w:p>
    <w:p w14:paraId="6ACDA5C5" w14:textId="77777777" w:rsidR="00F74CD6" w:rsidRPr="006C7C2F" w:rsidRDefault="00F74CD6" w:rsidP="003E4CC7">
      <w:pPr>
        <w:pStyle w:val="bceasln"/>
        <w:tabs>
          <w:tab w:val="left" w:pos="360"/>
        </w:tabs>
        <w:ind w:left="711" w:hanging="711"/>
        <w:rPr>
          <w:sz w:val="24"/>
          <w:szCs w:val="24"/>
        </w:rPr>
      </w:pPr>
      <w:r w:rsidRPr="006C7C2F">
        <w:rPr>
          <w:b/>
          <w:sz w:val="24"/>
          <w:szCs w:val="24"/>
        </w:rPr>
        <w:t>F</w:t>
      </w:r>
      <w:r w:rsidRPr="006C7C2F">
        <w:rPr>
          <w:sz w:val="24"/>
          <w:szCs w:val="24"/>
        </w:rPr>
        <w:tab/>
      </w:r>
      <w:r w:rsidRPr="006C7C2F">
        <w:rPr>
          <w:sz w:val="24"/>
          <w:szCs w:val="24"/>
        </w:rPr>
        <w:t> </w:t>
      </w:r>
      <w:r w:rsidRPr="006C7C2F">
        <w:rPr>
          <w:sz w:val="24"/>
          <w:szCs w:val="24"/>
        </w:rPr>
        <w:t>2.</w:t>
      </w:r>
      <w:r w:rsidRPr="006C7C2F">
        <w:rPr>
          <w:sz w:val="24"/>
          <w:szCs w:val="24"/>
        </w:rPr>
        <w:tab/>
        <w:t>In a private corporation, the needs of external users have no impact on the company’s financial reporting objectives.</w:t>
      </w:r>
      <w:r w:rsidR="00DB3B48" w:rsidRPr="006C7C2F">
        <w:rPr>
          <w:sz w:val="24"/>
          <w:szCs w:val="24"/>
        </w:rPr>
        <w:t xml:space="preserve"> External users</w:t>
      </w:r>
      <w:r w:rsidR="00D458CF">
        <w:rPr>
          <w:sz w:val="24"/>
          <w:szCs w:val="24"/>
        </w:rPr>
        <w:t>’</w:t>
      </w:r>
      <w:r w:rsidR="00DB3B48" w:rsidRPr="006C7C2F">
        <w:rPr>
          <w:sz w:val="24"/>
          <w:szCs w:val="24"/>
        </w:rPr>
        <w:t xml:space="preserve"> objectives are always considered in the selection of accounting policies especially where GAAP allows a choice. They will also impact on whether a private corporation will decide to use ASPE or IFRS.</w:t>
      </w:r>
    </w:p>
    <w:p w14:paraId="6E5D6FB9" w14:textId="77777777" w:rsidR="00DB3B48" w:rsidRPr="006C7C2F" w:rsidRDefault="00F70D17" w:rsidP="00DB3B48">
      <w:pPr>
        <w:pStyle w:val="bceasln"/>
        <w:tabs>
          <w:tab w:val="left" w:pos="360"/>
        </w:tabs>
        <w:ind w:left="711" w:hanging="711"/>
        <w:rPr>
          <w:sz w:val="24"/>
          <w:szCs w:val="24"/>
        </w:rPr>
      </w:pPr>
      <w:r w:rsidRPr="006C7C2F">
        <w:rPr>
          <w:b/>
          <w:sz w:val="24"/>
          <w:szCs w:val="24"/>
        </w:rPr>
        <w:t>F</w:t>
      </w:r>
      <w:r w:rsidR="00F74CD6" w:rsidRPr="006C7C2F">
        <w:rPr>
          <w:sz w:val="24"/>
          <w:szCs w:val="24"/>
        </w:rPr>
        <w:tab/>
      </w:r>
      <w:r w:rsidR="00F74CD6" w:rsidRPr="006C7C2F">
        <w:rPr>
          <w:sz w:val="24"/>
          <w:szCs w:val="24"/>
        </w:rPr>
        <w:t> </w:t>
      </w:r>
      <w:r w:rsidR="00F74CD6" w:rsidRPr="006C7C2F">
        <w:rPr>
          <w:sz w:val="24"/>
          <w:szCs w:val="24"/>
        </w:rPr>
        <w:t>3.</w:t>
      </w:r>
      <w:r w:rsidR="00F74CD6" w:rsidRPr="006C7C2F">
        <w:rPr>
          <w:sz w:val="24"/>
          <w:szCs w:val="24"/>
        </w:rPr>
        <w:tab/>
      </w:r>
      <w:r w:rsidRPr="006C7C2F">
        <w:rPr>
          <w:sz w:val="24"/>
          <w:szCs w:val="24"/>
        </w:rPr>
        <w:t>Canadian companies must always prepare their annual financial statements in Canadian dollars.</w:t>
      </w:r>
      <w:r w:rsidR="00DB3B48" w:rsidRPr="006C7C2F">
        <w:rPr>
          <w:sz w:val="24"/>
          <w:szCs w:val="24"/>
        </w:rPr>
        <w:t xml:space="preserve"> No the currency a company using for reporting on their financial statements is not specified. </w:t>
      </w:r>
    </w:p>
    <w:p w14:paraId="11940179" w14:textId="77777777" w:rsidR="00F74CD6" w:rsidRPr="006C7C2F" w:rsidRDefault="00F74CD6" w:rsidP="003E4CC7">
      <w:pPr>
        <w:pStyle w:val="bceasln"/>
        <w:tabs>
          <w:tab w:val="left" w:pos="360"/>
        </w:tabs>
        <w:ind w:left="711" w:hanging="711"/>
        <w:rPr>
          <w:sz w:val="24"/>
          <w:szCs w:val="24"/>
        </w:rPr>
      </w:pPr>
      <w:r w:rsidRPr="006C7C2F">
        <w:rPr>
          <w:b/>
          <w:sz w:val="24"/>
          <w:szCs w:val="24"/>
        </w:rPr>
        <w:t>F</w:t>
      </w:r>
      <w:r w:rsidRPr="006C7C2F">
        <w:rPr>
          <w:sz w:val="24"/>
          <w:szCs w:val="24"/>
        </w:rPr>
        <w:tab/>
      </w:r>
      <w:r w:rsidRPr="006C7C2F">
        <w:rPr>
          <w:sz w:val="24"/>
          <w:szCs w:val="24"/>
        </w:rPr>
        <w:t> </w:t>
      </w:r>
      <w:r w:rsidRPr="006C7C2F">
        <w:rPr>
          <w:sz w:val="24"/>
          <w:szCs w:val="24"/>
        </w:rPr>
        <w:t>4.</w:t>
      </w:r>
      <w:r w:rsidRPr="006C7C2F">
        <w:rPr>
          <w:sz w:val="24"/>
          <w:szCs w:val="24"/>
        </w:rPr>
        <w:tab/>
        <w:t xml:space="preserve">Canadian accounting standards are </w:t>
      </w:r>
      <w:r w:rsidR="00494424">
        <w:rPr>
          <w:sz w:val="24"/>
          <w:szCs w:val="24"/>
        </w:rPr>
        <w:t>set</w:t>
      </w:r>
      <w:r w:rsidRPr="006C7C2F">
        <w:rPr>
          <w:sz w:val="24"/>
          <w:szCs w:val="24"/>
        </w:rPr>
        <w:t xml:space="preserve"> by the Canada Business Corporations Act.</w:t>
      </w:r>
      <w:r w:rsidR="00A1704C" w:rsidRPr="006C7C2F">
        <w:rPr>
          <w:sz w:val="24"/>
          <w:szCs w:val="24"/>
        </w:rPr>
        <w:t xml:space="preserve"> Canadian accounting standards are governed by the </w:t>
      </w:r>
      <w:r w:rsidR="00D458CF">
        <w:rPr>
          <w:sz w:val="24"/>
          <w:szCs w:val="24"/>
        </w:rPr>
        <w:t>A</w:t>
      </w:r>
      <w:r w:rsidR="00A1704C" w:rsidRPr="006C7C2F">
        <w:rPr>
          <w:sz w:val="24"/>
          <w:szCs w:val="24"/>
        </w:rPr>
        <w:t xml:space="preserve">ccounting </w:t>
      </w:r>
      <w:r w:rsidR="00D458CF">
        <w:rPr>
          <w:sz w:val="24"/>
          <w:szCs w:val="24"/>
        </w:rPr>
        <w:t>S</w:t>
      </w:r>
      <w:r w:rsidR="00A1704C" w:rsidRPr="006C7C2F">
        <w:rPr>
          <w:sz w:val="24"/>
          <w:szCs w:val="24"/>
        </w:rPr>
        <w:t xml:space="preserve">tandards </w:t>
      </w:r>
      <w:r w:rsidR="00D458CF">
        <w:rPr>
          <w:sz w:val="24"/>
          <w:szCs w:val="24"/>
        </w:rPr>
        <w:t>B</w:t>
      </w:r>
      <w:r w:rsidR="00A1704C" w:rsidRPr="006C7C2F">
        <w:rPr>
          <w:sz w:val="24"/>
          <w:szCs w:val="24"/>
        </w:rPr>
        <w:t>oard.</w:t>
      </w:r>
    </w:p>
    <w:p w14:paraId="76093CC5" w14:textId="77777777" w:rsidR="00F74CD6" w:rsidRPr="006C7C2F" w:rsidRDefault="00F74CD6" w:rsidP="003E4CC7">
      <w:pPr>
        <w:pStyle w:val="bceasln"/>
        <w:tabs>
          <w:tab w:val="left" w:pos="360"/>
        </w:tabs>
        <w:ind w:left="711" w:hanging="711"/>
        <w:rPr>
          <w:sz w:val="24"/>
          <w:szCs w:val="24"/>
        </w:rPr>
      </w:pPr>
      <w:r w:rsidRPr="006C7C2F">
        <w:rPr>
          <w:b/>
          <w:sz w:val="24"/>
          <w:szCs w:val="24"/>
        </w:rPr>
        <w:t>F</w:t>
      </w:r>
      <w:r w:rsidRPr="006C7C2F">
        <w:rPr>
          <w:sz w:val="24"/>
          <w:szCs w:val="24"/>
        </w:rPr>
        <w:tab/>
      </w:r>
      <w:r w:rsidRPr="006C7C2F">
        <w:rPr>
          <w:sz w:val="24"/>
          <w:szCs w:val="24"/>
        </w:rPr>
        <w:t> </w:t>
      </w:r>
      <w:r w:rsidRPr="006C7C2F">
        <w:rPr>
          <w:sz w:val="24"/>
          <w:szCs w:val="24"/>
        </w:rPr>
        <w:t>5.</w:t>
      </w:r>
      <w:r w:rsidRPr="006C7C2F">
        <w:rPr>
          <w:sz w:val="24"/>
          <w:szCs w:val="24"/>
        </w:rPr>
        <w:tab/>
        <w:t>The debt and equity securities of a private company cannot be traded on public exchanges. Therefore, private companies have no external sources of financing.</w:t>
      </w:r>
      <w:r w:rsidR="00A1704C" w:rsidRPr="006C7C2F">
        <w:rPr>
          <w:sz w:val="24"/>
          <w:szCs w:val="24"/>
        </w:rPr>
        <w:t xml:space="preserve"> Private companies can raise financing through private placements.</w:t>
      </w:r>
    </w:p>
    <w:p w14:paraId="5B6D4C26" w14:textId="77777777" w:rsidR="00F74CD6" w:rsidRPr="006C7C2F" w:rsidRDefault="00F70D17" w:rsidP="003E4CC7">
      <w:pPr>
        <w:pStyle w:val="bceasln"/>
        <w:tabs>
          <w:tab w:val="left" w:pos="360"/>
        </w:tabs>
        <w:ind w:left="711" w:hanging="711"/>
        <w:rPr>
          <w:sz w:val="24"/>
          <w:szCs w:val="24"/>
        </w:rPr>
      </w:pPr>
      <w:r w:rsidRPr="006C7C2F">
        <w:rPr>
          <w:b/>
          <w:sz w:val="24"/>
          <w:szCs w:val="24"/>
        </w:rPr>
        <w:t>T</w:t>
      </w:r>
      <w:r w:rsidR="00F74CD6" w:rsidRPr="006C7C2F">
        <w:rPr>
          <w:sz w:val="24"/>
          <w:szCs w:val="24"/>
        </w:rPr>
        <w:tab/>
      </w:r>
      <w:r w:rsidR="00F74CD6" w:rsidRPr="006C7C2F">
        <w:rPr>
          <w:sz w:val="24"/>
          <w:szCs w:val="24"/>
        </w:rPr>
        <w:t> </w:t>
      </w:r>
      <w:r w:rsidR="00F74CD6" w:rsidRPr="006C7C2F">
        <w:rPr>
          <w:sz w:val="24"/>
          <w:szCs w:val="24"/>
        </w:rPr>
        <w:t>6.</w:t>
      </w:r>
      <w:r w:rsidR="00F74CD6" w:rsidRPr="006C7C2F">
        <w:rPr>
          <w:sz w:val="24"/>
          <w:szCs w:val="24"/>
        </w:rPr>
        <w:tab/>
        <w:t xml:space="preserve">A company may take a “big bath” in a loss year </w:t>
      </w:r>
      <w:r w:rsidR="00494424">
        <w:rPr>
          <w:sz w:val="24"/>
          <w:szCs w:val="24"/>
        </w:rPr>
        <w:t>if management wishes to maximize</w:t>
      </w:r>
      <w:r w:rsidR="00F74CD6" w:rsidRPr="006C7C2F">
        <w:rPr>
          <w:sz w:val="24"/>
          <w:szCs w:val="24"/>
        </w:rPr>
        <w:t xml:space="preserve"> future earnings.</w:t>
      </w:r>
    </w:p>
    <w:p w14:paraId="0B0F2DF1" w14:textId="77777777" w:rsidR="00A1704C" w:rsidRPr="006C7C2F" w:rsidRDefault="00F74CD6" w:rsidP="003E4CC7">
      <w:pPr>
        <w:pStyle w:val="bceasln"/>
        <w:tabs>
          <w:tab w:val="left" w:pos="360"/>
        </w:tabs>
        <w:ind w:left="711" w:hanging="711"/>
        <w:rPr>
          <w:sz w:val="24"/>
          <w:szCs w:val="24"/>
        </w:rPr>
      </w:pPr>
      <w:r w:rsidRPr="006C7C2F">
        <w:rPr>
          <w:b/>
          <w:sz w:val="24"/>
          <w:szCs w:val="24"/>
        </w:rPr>
        <w:t>T</w:t>
      </w:r>
      <w:r w:rsidRPr="006C7C2F">
        <w:rPr>
          <w:sz w:val="24"/>
          <w:szCs w:val="24"/>
        </w:rPr>
        <w:tab/>
      </w:r>
      <w:r w:rsidRPr="006C7C2F">
        <w:rPr>
          <w:sz w:val="24"/>
          <w:szCs w:val="24"/>
        </w:rPr>
        <w:t> </w:t>
      </w:r>
      <w:r w:rsidRPr="006C7C2F">
        <w:rPr>
          <w:sz w:val="24"/>
          <w:szCs w:val="24"/>
        </w:rPr>
        <w:t>7.</w:t>
      </w:r>
      <w:r w:rsidRPr="006C7C2F">
        <w:rPr>
          <w:sz w:val="24"/>
          <w:szCs w:val="24"/>
        </w:rPr>
        <w:tab/>
        <w:t>A public company may not use DBA for external public financial reporting.</w:t>
      </w:r>
      <w:r w:rsidR="00A1704C" w:rsidRPr="006C7C2F">
        <w:rPr>
          <w:sz w:val="24"/>
          <w:szCs w:val="24"/>
        </w:rPr>
        <w:t xml:space="preserve"> </w:t>
      </w:r>
    </w:p>
    <w:p w14:paraId="60622BC0" w14:textId="77777777" w:rsidR="00F74CD6" w:rsidRPr="006C7C2F" w:rsidRDefault="00F74CD6" w:rsidP="003E4CC7">
      <w:pPr>
        <w:pStyle w:val="bceasln"/>
        <w:tabs>
          <w:tab w:val="left" w:pos="360"/>
        </w:tabs>
        <w:ind w:left="711" w:hanging="711"/>
        <w:rPr>
          <w:sz w:val="24"/>
          <w:szCs w:val="24"/>
        </w:rPr>
      </w:pPr>
      <w:r w:rsidRPr="006C7C2F">
        <w:rPr>
          <w:b/>
          <w:sz w:val="24"/>
          <w:szCs w:val="24"/>
        </w:rPr>
        <w:t>F</w:t>
      </w:r>
      <w:r w:rsidRPr="006C7C2F">
        <w:rPr>
          <w:sz w:val="24"/>
          <w:szCs w:val="24"/>
        </w:rPr>
        <w:tab/>
      </w:r>
      <w:r w:rsidRPr="006C7C2F">
        <w:rPr>
          <w:sz w:val="24"/>
          <w:szCs w:val="24"/>
        </w:rPr>
        <w:t> </w:t>
      </w:r>
      <w:r w:rsidRPr="006C7C2F">
        <w:rPr>
          <w:sz w:val="24"/>
          <w:szCs w:val="24"/>
        </w:rPr>
        <w:t>8.</w:t>
      </w:r>
      <w:r w:rsidRPr="006C7C2F">
        <w:rPr>
          <w:sz w:val="24"/>
          <w:szCs w:val="24"/>
        </w:rPr>
        <w:tab/>
        <w:t xml:space="preserve">When an enterprise’s primary reporting objective is cash flow assessment, the enterprise will use a cash basis of reporting rather than an accrual basis. </w:t>
      </w:r>
      <w:r w:rsidR="00A1704C" w:rsidRPr="006C7C2F">
        <w:rPr>
          <w:sz w:val="24"/>
          <w:szCs w:val="24"/>
        </w:rPr>
        <w:t>Accrual accounting e.g. recording accounts receivables and accounts payable will help predict future cash flows.</w:t>
      </w:r>
    </w:p>
    <w:p w14:paraId="31353D3E" w14:textId="77777777" w:rsidR="00F74CD6" w:rsidRPr="006C7C2F" w:rsidRDefault="00F70D17" w:rsidP="003E4CC7">
      <w:pPr>
        <w:pStyle w:val="bceasln"/>
        <w:tabs>
          <w:tab w:val="left" w:pos="360"/>
        </w:tabs>
        <w:ind w:left="711" w:hanging="711"/>
        <w:rPr>
          <w:sz w:val="24"/>
          <w:szCs w:val="24"/>
        </w:rPr>
      </w:pPr>
      <w:r w:rsidRPr="006C7C2F">
        <w:rPr>
          <w:b/>
          <w:sz w:val="24"/>
          <w:szCs w:val="24"/>
        </w:rPr>
        <w:t>T</w:t>
      </w:r>
      <w:r w:rsidR="00F74CD6" w:rsidRPr="006C7C2F">
        <w:rPr>
          <w:sz w:val="24"/>
          <w:szCs w:val="24"/>
        </w:rPr>
        <w:tab/>
      </w:r>
      <w:r w:rsidR="00F74CD6" w:rsidRPr="006C7C2F">
        <w:rPr>
          <w:sz w:val="24"/>
          <w:szCs w:val="24"/>
        </w:rPr>
        <w:t> </w:t>
      </w:r>
      <w:r w:rsidR="00F74CD6" w:rsidRPr="006C7C2F">
        <w:rPr>
          <w:sz w:val="24"/>
          <w:szCs w:val="24"/>
        </w:rPr>
        <w:t>9.</w:t>
      </w:r>
      <w:r w:rsidR="00F74CD6" w:rsidRPr="006C7C2F">
        <w:rPr>
          <w:sz w:val="24"/>
          <w:szCs w:val="24"/>
        </w:rPr>
        <w:tab/>
      </w:r>
      <w:r w:rsidRPr="006C7C2F">
        <w:rPr>
          <w:sz w:val="24"/>
          <w:szCs w:val="24"/>
        </w:rPr>
        <w:t>Any Canadian company may use IFRS</w:t>
      </w:r>
      <w:r w:rsidR="00F74CD6" w:rsidRPr="006C7C2F">
        <w:rPr>
          <w:sz w:val="24"/>
          <w:szCs w:val="24"/>
        </w:rPr>
        <w:t>.</w:t>
      </w:r>
    </w:p>
    <w:p w14:paraId="0D1DE5AE" w14:textId="77777777" w:rsidR="00BF4990" w:rsidRDefault="00F74CD6" w:rsidP="00A1704C">
      <w:pPr>
        <w:rPr>
          <w:szCs w:val="24"/>
        </w:rPr>
      </w:pPr>
      <w:r w:rsidRPr="006C7C2F">
        <w:rPr>
          <w:b/>
          <w:szCs w:val="24"/>
        </w:rPr>
        <w:t>T</w:t>
      </w:r>
      <w:r w:rsidRPr="006C7C2F">
        <w:rPr>
          <w:szCs w:val="24"/>
        </w:rPr>
        <w:tab/>
        <w:t>10.</w:t>
      </w:r>
      <w:r w:rsidRPr="006C7C2F">
        <w:rPr>
          <w:szCs w:val="24"/>
        </w:rPr>
        <w:tab/>
        <w:t xml:space="preserve">The IASB cannot require transnational corporations to use </w:t>
      </w:r>
      <w:smartTag w:uri="urn:schemas-microsoft-com:office:smarttags" w:element="stockticker">
        <w:r w:rsidRPr="006C7C2F">
          <w:rPr>
            <w:szCs w:val="24"/>
          </w:rPr>
          <w:t>IFRS</w:t>
        </w:r>
      </w:smartTag>
      <w:r w:rsidRPr="006C7C2F">
        <w:rPr>
          <w:szCs w:val="24"/>
        </w:rPr>
        <w:t>.</w:t>
      </w:r>
    </w:p>
    <w:p w14:paraId="627B3ADA" w14:textId="4F00F211" w:rsidR="00A1704C" w:rsidRDefault="00BF4990" w:rsidP="00A1704C">
      <w:pPr>
        <w:rPr>
          <w:b/>
        </w:rPr>
      </w:pPr>
      <w:r>
        <w:rPr>
          <w:szCs w:val="24"/>
        </w:rPr>
        <w:br w:type="page"/>
      </w:r>
      <w:r w:rsidR="00A1704C">
        <w:rPr>
          <w:b/>
        </w:rPr>
        <w:lastRenderedPageBreak/>
        <w:t>TR1-3</w:t>
      </w:r>
      <w:r w:rsidR="008B1727">
        <w:rPr>
          <w:b/>
        </w:rPr>
        <w:t xml:space="preserve"> </w:t>
      </w:r>
      <w:r w:rsidR="008B1727" w:rsidRPr="008B1727">
        <w:t>(LO1.1)</w:t>
      </w:r>
    </w:p>
    <w:p w14:paraId="2C8DBA67" w14:textId="77777777" w:rsidR="00A1704C" w:rsidRDefault="00A1704C" w:rsidP="00A1704C">
      <w:pPr>
        <w:rPr>
          <w:b/>
        </w:rPr>
      </w:pPr>
    </w:p>
    <w:p w14:paraId="5434C8E6" w14:textId="77777777" w:rsidR="00A1704C" w:rsidRDefault="005B5ADC" w:rsidP="00A1704C">
      <w:pPr>
        <w:numPr>
          <w:ilvl w:val="0"/>
          <w:numId w:val="3"/>
        </w:numPr>
        <w:tabs>
          <w:tab w:val="clear" w:pos="720"/>
          <w:tab w:val="left" w:pos="440"/>
          <w:tab w:val="left" w:pos="900"/>
          <w:tab w:val="left" w:pos="4680"/>
        </w:tabs>
        <w:ind w:left="0" w:firstLine="0"/>
      </w:pPr>
      <w:r>
        <w:t>J</w:t>
      </w:r>
      <w:r w:rsidR="00A1704C">
        <w:tab/>
        <w:t>IASB</w:t>
      </w:r>
    </w:p>
    <w:p w14:paraId="080C0456" w14:textId="77777777" w:rsidR="00A1704C" w:rsidRDefault="00A1704C" w:rsidP="00A1704C">
      <w:pPr>
        <w:numPr>
          <w:ilvl w:val="0"/>
          <w:numId w:val="3"/>
        </w:numPr>
        <w:tabs>
          <w:tab w:val="left" w:pos="440"/>
          <w:tab w:val="left" w:pos="900"/>
          <w:tab w:val="left" w:pos="4680"/>
        </w:tabs>
        <w:ind w:left="0" w:firstLine="0"/>
      </w:pPr>
      <w:r>
        <w:t>F</w:t>
      </w:r>
      <w:r>
        <w:tab/>
      </w:r>
      <w:r>
        <w:tab/>
        <w:t>ASPE</w:t>
      </w:r>
    </w:p>
    <w:p w14:paraId="500F167B" w14:textId="77777777" w:rsidR="00A1704C" w:rsidRDefault="00A1704C" w:rsidP="00A1704C">
      <w:pPr>
        <w:numPr>
          <w:ilvl w:val="0"/>
          <w:numId w:val="3"/>
        </w:numPr>
        <w:tabs>
          <w:tab w:val="left" w:pos="440"/>
          <w:tab w:val="left" w:pos="900"/>
          <w:tab w:val="left" w:pos="4680"/>
        </w:tabs>
        <w:ind w:left="0" w:firstLine="0"/>
      </w:pPr>
      <w:r>
        <w:t>A</w:t>
      </w:r>
      <w:r>
        <w:tab/>
      </w:r>
      <w:r>
        <w:tab/>
        <w:t>AcSB</w:t>
      </w:r>
    </w:p>
    <w:p w14:paraId="6DDE5235" w14:textId="77777777" w:rsidR="00A1704C" w:rsidRDefault="00A1704C" w:rsidP="00A1704C">
      <w:pPr>
        <w:numPr>
          <w:ilvl w:val="0"/>
          <w:numId w:val="3"/>
        </w:numPr>
        <w:tabs>
          <w:tab w:val="left" w:pos="440"/>
          <w:tab w:val="left" w:pos="900"/>
          <w:tab w:val="left" w:pos="4680"/>
        </w:tabs>
        <w:ind w:left="0" w:firstLine="0"/>
      </w:pPr>
      <w:r>
        <w:t>E</w:t>
      </w:r>
      <w:r>
        <w:tab/>
      </w:r>
      <w:r>
        <w:tab/>
        <w:t xml:space="preserve">IFRS </w:t>
      </w:r>
    </w:p>
    <w:p w14:paraId="0504C02E" w14:textId="77777777" w:rsidR="00A1704C" w:rsidRDefault="00A1704C" w:rsidP="00A1704C">
      <w:pPr>
        <w:numPr>
          <w:ilvl w:val="0"/>
          <w:numId w:val="3"/>
        </w:numPr>
        <w:tabs>
          <w:tab w:val="left" w:pos="440"/>
          <w:tab w:val="left" w:pos="900"/>
          <w:tab w:val="left" w:pos="4680"/>
        </w:tabs>
        <w:ind w:left="0" w:firstLine="0"/>
      </w:pPr>
      <w:r>
        <w:t>I</w:t>
      </w:r>
      <w:r>
        <w:tab/>
      </w:r>
      <w:r>
        <w:tab/>
        <w:t>TSX</w:t>
      </w:r>
    </w:p>
    <w:p w14:paraId="224D612E" w14:textId="77777777" w:rsidR="00A1704C" w:rsidRDefault="00A1704C" w:rsidP="00A1704C">
      <w:pPr>
        <w:numPr>
          <w:ilvl w:val="0"/>
          <w:numId w:val="3"/>
        </w:numPr>
        <w:tabs>
          <w:tab w:val="left" w:pos="440"/>
          <w:tab w:val="left" w:pos="900"/>
          <w:tab w:val="left" w:pos="4680"/>
        </w:tabs>
        <w:ind w:left="0" w:firstLine="0"/>
      </w:pPr>
      <w:r>
        <w:t>D</w:t>
      </w:r>
      <w:r>
        <w:tab/>
      </w:r>
      <w:r>
        <w:tab/>
        <w:t>OSC</w:t>
      </w:r>
    </w:p>
    <w:p w14:paraId="0D95EB98" w14:textId="77777777" w:rsidR="00A1704C" w:rsidRDefault="00A1704C" w:rsidP="00A1704C">
      <w:pPr>
        <w:numPr>
          <w:ilvl w:val="0"/>
          <w:numId w:val="3"/>
        </w:numPr>
        <w:tabs>
          <w:tab w:val="left" w:pos="440"/>
          <w:tab w:val="left" w:pos="900"/>
          <w:tab w:val="left" w:pos="4680"/>
        </w:tabs>
        <w:ind w:left="0" w:firstLine="0"/>
      </w:pPr>
      <w:r>
        <w:t>C</w:t>
      </w:r>
      <w:r>
        <w:tab/>
      </w:r>
      <w:r>
        <w:tab/>
        <w:t>CPA</w:t>
      </w:r>
    </w:p>
    <w:p w14:paraId="4B7BDD71" w14:textId="77777777" w:rsidR="00A1704C" w:rsidRDefault="00A1704C" w:rsidP="00A1704C">
      <w:pPr>
        <w:numPr>
          <w:ilvl w:val="0"/>
          <w:numId w:val="3"/>
        </w:numPr>
        <w:tabs>
          <w:tab w:val="left" w:pos="440"/>
          <w:tab w:val="left" w:pos="900"/>
          <w:tab w:val="left" w:pos="4680"/>
        </w:tabs>
        <w:ind w:left="0" w:firstLine="0"/>
      </w:pPr>
      <w:r>
        <w:t>B</w:t>
      </w:r>
      <w:r>
        <w:tab/>
      </w:r>
      <w:r>
        <w:tab/>
      </w:r>
      <w:smartTag w:uri="urn:schemas-microsoft-com:office:smarttags" w:element="stockticker">
        <w:r>
          <w:t>SEC</w:t>
        </w:r>
      </w:smartTag>
    </w:p>
    <w:p w14:paraId="69EB0CDE" w14:textId="77777777" w:rsidR="00A1704C" w:rsidRDefault="00A1704C" w:rsidP="00A1704C">
      <w:pPr>
        <w:numPr>
          <w:ilvl w:val="0"/>
          <w:numId w:val="3"/>
        </w:numPr>
        <w:tabs>
          <w:tab w:val="left" w:pos="440"/>
          <w:tab w:val="left" w:pos="900"/>
          <w:tab w:val="left" w:pos="4680"/>
        </w:tabs>
        <w:ind w:left="0" w:firstLine="0"/>
      </w:pPr>
      <w:r>
        <w:t>G</w:t>
      </w:r>
      <w:r>
        <w:tab/>
      </w:r>
      <w:r>
        <w:tab/>
        <w:t>FASB</w:t>
      </w:r>
    </w:p>
    <w:p w14:paraId="79599229" w14:textId="77777777" w:rsidR="00A1704C" w:rsidRDefault="00A1704C" w:rsidP="00A1704C">
      <w:pPr>
        <w:numPr>
          <w:ilvl w:val="0"/>
          <w:numId w:val="3"/>
        </w:numPr>
        <w:tabs>
          <w:tab w:val="left" w:pos="440"/>
          <w:tab w:val="left" w:pos="900"/>
          <w:tab w:val="left" w:pos="4680"/>
        </w:tabs>
        <w:ind w:left="0" w:firstLine="0"/>
      </w:pPr>
      <w:r>
        <w:t>H</w:t>
      </w:r>
      <w:r>
        <w:tab/>
      </w:r>
      <w:r>
        <w:tab/>
        <w:t>DBA</w:t>
      </w:r>
    </w:p>
    <w:p w14:paraId="7C493636" w14:textId="77777777" w:rsidR="00A1704C" w:rsidRDefault="00A1704C" w:rsidP="00A1704C">
      <w:pPr>
        <w:rPr>
          <w:b/>
        </w:rPr>
      </w:pPr>
    </w:p>
    <w:p w14:paraId="1FB1B79F" w14:textId="7253564E" w:rsidR="00A1704C" w:rsidRDefault="00A1704C" w:rsidP="00A1704C">
      <w:pPr>
        <w:rPr>
          <w:b/>
        </w:rPr>
      </w:pPr>
      <w:r>
        <w:rPr>
          <w:b/>
        </w:rPr>
        <w:t>TR1-4</w:t>
      </w:r>
      <w:r w:rsidR="008B1727">
        <w:rPr>
          <w:b/>
        </w:rPr>
        <w:t xml:space="preserve"> </w:t>
      </w:r>
      <w:r w:rsidR="008B1727" w:rsidRPr="008B1727">
        <w:rPr>
          <w:szCs w:val="24"/>
        </w:rPr>
        <w:t>(LO1.1</w:t>
      </w:r>
      <w:r w:rsidR="008B1727">
        <w:t>)</w:t>
      </w:r>
    </w:p>
    <w:p w14:paraId="7FDE07EE" w14:textId="77777777" w:rsidR="00A1704C" w:rsidRDefault="00A1704C" w:rsidP="00A1704C">
      <w:pPr>
        <w:rPr>
          <w:b/>
        </w:rPr>
      </w:pPr>
    </w:p>
    <w:p w14:paraId="03E32602" w14:textId="77777777" w:rsidR="00A1704C" w:rsidRDefault="00A1704C" w:rsidP="00A1704C">
      <w:r>
        <w:t xml:space="preserve">1. </w:t>
      </w:r>
      <w:r w:rsidR="008F6D8D">
        <w:t>Bank – IFRS required since publicly accountable enterprise</w:t>
      </w:r>
    </w:p>
    <w:p w14:paraId="3C35C79C" w14:textId="77777777" w:rsidR="008F6D8D" w:rsidRDefault="008F6D8D" w:rsidP="00A1704C">
      <w:r>
        <w:t xml:space="preserve">2. </w:t>
      </w:r>
      <w:r w:rsidR="00351015">
        <w:t xml:space="preserve">Private company two shareholders – ASPE required for small group of shareholders; likely do not need </w:t>
      </w:r>
      <w:r w:rsidR="00D458CF">
        <w:t xml:space="preserve">to incur </w:t>
      </w:r>
      <w:r w:rsidR="00351015">
        <w:t xml:space="preserve">cost </w:t>
      </w:r>
      <w:r w:rsidR="00D458CF">
        <w:t xml:space="preserve">of </w:t>
      </w:r>
      <w:r w:rsidR="00351015">
        <w:t>IFRS.</w:t>
      </w:r>
    </w:p>
    <w:p w14:paraId="76377DF1" w14:textId="77777777" w:rsidR="008F6D8D" w:rsidRDefault="008F6D8D" w:rsidP="00A1704C">
      <w:r>
        <w:t>3. Public company - IFRS required since publicly accountable enterprise</w:t>
      </w:r>
    </w:p>
    <w:p w14:paraId="49E77153" w14:textId="77777777" w:rsidR="008F6D8D" w:rsidRDefault="008F6D8D" w:rsidP="00A1704C">
      <w:r>
        <w:t>4. Mutual fund - IFRS required since publicly accountable enterprise</w:t>
      </w:r>
    </w:p>
    <w:p w14:paraId="4EF350D9" w14:textId="77777777" w:rsidR="008F6D8D" w:rsidRDefault="008F6D8D" w:rsidP="00A1704C">
      <w:r>
        <w:t>5. Private company wholly owned subsidiary of public company – IFRS likely requested by parent company to allow ease of consolidation</w:t>
      </w:r>
    </w:p>
    <w:p w14:paraId="67716A8C" w14:textId="77777777" w:rsidR="008F6D8D" w:rsidRDefault="008F6D8D" w:rsidP="00A1704C"/>
    <w:p w14:paraId="05117546" w14:textId="0222F044" w:rsidR="008F6D8D" w:rsidRDefault="008F6D8D" w:rsidP="00A1704C">
      <w:pPr>
        <w:rPr>
          <w:b/>
        </w:rPr>
      </w:pPr>
      <w:r>
        <w:rPr>
          <w:b/>
        </w:rPr>
        <w:t>TR1-5</w:t>
      </w:r>
      <w:r w:rsidR="008B1727">
        <w:rPr>
          <w:b/>
        </w:rPr>
        <w:t xml:space="preserve"> </w:t>
      </w:r>
      <w:r w:rsidR="008B1727" w:rsidRPr="008B1727">
        <w:rPr>
          <w:szCs w:val="24"/>
        </w:rPr>
        <w:t>(LO1.1</w:t>
      </w:r>
      <w:r w:rsidR="008B1727">
        <w:t>)</w:t>
      </w:r>
    </w:p>
    <w:p w14:paraId="09CCADF0" w14:textId="77777777" w:rsidR="008F6D8D" w:rsidRDefault="008F6D8D" w:rsidP="00A1704C">
      <w:pPr>
        <w:rPr>
          <w:b/>
        </w:rPr>
      </w:pPr>
    </w:p>
    <w:p w14:paraId="0C3989D0" w14:textId="77777777" w:rsidR="008F6D8D" w:rsidRDefault="008F6D8D" w:rsidP="008F6D8D">
      <w:r>
        <w:t xml:space="preserve">1. Private bank - IFRS required since </w:t>
      </w:r>
      <w:r w:rsidR="00160093">
        <w:t xml:space="preserve">it holds assets in a fiduciary capacity as one of its primary businesses. </w:t>
      </w:r>
    </w:p>
    <w:p w14:paraId="166897D4" w14:textId="77777777" w:rsidR="008F6D8D" w:rsidRDefault="008F6D8D" w:rsidP="008F6D8D">
      <w:r>
        <w:t>2. Private company many shareholders – ASPE since less costly unless shareholders request IFRS</w:t>
      </w:r>
    </w:p>
    <w:p w14:paraId="45955A62" w14:textId="77777777" w:rsidR="008F6D8D" w:rsidRDefault="008F6D8D" w:rsidP="008F6D8D">
      <w:r>
        <w:t xml:space="preserve">3. Private company major competitor public company – IFRS </w:t>
      </w:r>
      <w:r w:rsidR="00FD2C23">
        <w:t xml:space="preserve">more likely </w:t>
      </w:r>
      <w:r>
        <w:t>since would be more comparable to their competitor</w:t>
      </w:r>
    </w:p>
    <w:p w14:paraId="0DB94E8D" w14:textId="77777777" w:rsidR="008F6D8D" w:rsidRDefault="008F6D8D" w:rsidP="008F6D8D">
      <w:r>
        <w:t xml:space="preserve">4. Government business enterprise - </w:t>
      </w:r>
      <w:r w:rsidR="008E5396">
        <w:t>IFRS required since publicly accountable enterprise</w:t>
      </w:r>
    </w:p>
    <w:p w14:paraId="19072EBF" w14:textId="77777777" w:rsidR="008E5396" w:rsidRDefault="008E5396" w:rsidP="008F6D8D">
      <w:r>
        <w:t xml:space="preserve">5. Private company intends to go public – IFRS </w:t>
      </w:r>
      <w:r w:rsidR="00FD2C23">
        <w:t xml:space="preserve">more likely </w:t>
      </w:r>
      <w:r>
        <w:t>since will be required when go public</w:t>
      </w:r>
    </w:p>
    <w:p w14:paraId="43991FB7" w14:textId="77777777" w:rsidR="008E5396" w:rsidRDefault="008E5396" w:rsidP="008F6D8D"/>
    <w:p w14:paraId="64629083" w14:textId="77777777" w:rsidR="008E5396" w:rsidRPr="008B1727" w:rsidRDefault="008E5396" w:rsidP="008F6D8D">
      <w:r>
        <w:br w:type="page"/>
      </w:r>
      <w:r>
        <w:rPr>
          <w:b/>
        </w:rPr>
        <w:lastRenderedPageBreak/>
        <w:t>TR1-6</w:t>
      </w:r>
      <w:r w:rsidR="008B1727">
        <w:rPr>
          <w:b/>
        </w:rPr>
        <w:t xml:space="preserve"> </w:t>
      </w:r>
      <w:r w:rsidR="008B1727" w:rsidRPr="008B1727">
        <w:rPr>
          <w:szCs w:val="24"/>
        </w:rPr>
        <w:t>(LO1.1</w:t>
      </w:r>
      <w:r w:rsidR="008B1727">
        <w:t>)</w:t>
      </w:r>
    </w:p>
    <w:p w14:paraId="344ED40C" w14:textId="77777777" w:rsidR="008E5396" w:rsidRDefault="008E5396" w:rsidP="008F6D8D">
      <w:pPr>
        <w:rPr>
          <w:b/>
        </w:rPr>
      </w:pPr>
    </w:p>
    <w:p w14:paraId="4F299DC2" w14:textId="77777777" w:rsidR="00860215" w:rsidRDefault="00860215" w:rsidP="00860215">
      <w:pPr>
        <w:rPr>
          <w:szCs w:val="24"/>
        </w:rPr>
      </w:pPr>
      <w:r>
        <w:rPr>
          <w:szCs w:val="24"/>
        </w:rPr>
        <w:t xml:space="preserve">The question statement has been repeated below followed by the correct statement in instances where the question statement is false. </w:t>
      </w:r>
    </w:p>
    <w:p w14:paraId="0A960DAC" w14:textId="77777777" w:rsidR="00860215" w:rsidRDefault="00860215" w:rsidP="008F6D8D">
      <w:pPr>
        <w:rPr>
          <w:b/>
        </w:rPr>
      </w:pPr>
    </w:p>
    <w:p w14:paraId="39972C11" w14:textId="77777777" w:rsidR="008E5396" w:rsidRPr="006D016B" w:rsidRDefault="006D016B" w:rsidP="006D016B">
      <w:pPr>
        <w:pStyle w:val="bceasln"/>
        <w:tabs>
          <w:tab w:val="left" w:pos="360"/>
        </w:tabs>
        <w:ind w:left="711" w:hanging="711"/>
        <w:rPr>
          <w:sz w:val="24"/>
          <w:szCs w:val="24"/>
        </w:rPr>
      </w:pPr>
      <w:r w:rsidRPr="006D016B">
        <w:rPr>
          <w:b/>
          <w:sz w:val="24"/>
          <w:szCs w:val="24"/>
        </w:rPr>
        <w:t>F</w:t>
      </w:r>
      <w:r w:rsidRPr="006D016B">
        <w:rPr>
          <w:sz w:val="24"/>
          <w:szCs w:val="24"/>
        </w:rPr>
        <w:t xml:space="preserve"> 1. A disclosed basis of accounting is GAAP. DBA is an alter</w:t>
      </w:r>
      <w:r w:rsidR="00FD2C23">
        <w:rPr>
          <w:sz w:val="24"/>
          <w:szCs w:val="24"/>
        </w:rPr>
        <w:t>n</w:t>
      </w:r>
      <w:r w:rsidRPr="006D016B">
        <w:rPr>
          <w:sz w:val="24"/>
          <w:szCs w:val="24"/>
        </w:rPr>
        <w:t>ative to GAAP financial statements.</w:t>
      </w:r>
      <w:r w:rsidR="00FD2C23">
        <w:rPr>
          <w:sz w:val="24"/>
          <w:szCs w:val="24"/>
        </w:rPr>
        <w:t xml:space="preserve"> DBA is not considered to be GAAP.</w:t>
      </w:r>
    </w:p>
    <w:p w14:paraId="778264EF" w14:textId="77777777" w:rsidR="006D016B" w:rsidRDefault="006D016B" w:rsidP="006D016B">
      <w:pPr>
        <w:rPr>
          <w:rFonts w:ascii="Times New Roman" w:hAnsi="Times New Roman"/>
          <w:szCs w:val="24"/>
        </w:rPr>
      </w:pPr>
      <w:r>
        <w:rPr>
          <w:b/>
        </w:rPr>
        <w:t xml:space="preserve">T </w:t>
      </w:r>
      <w:r w:rsidRPr="006D016B">
        <w:t>2.</w:t>
      </w:r>
      <w:r>
        <w:rPr>
          <w:b/>
        </w:rPr>
        <w:t xml:space="preserve"> </w:t>
      </w:r>
      <w:r w:rsidRPr="006D016B">
        <w:rPr>
          <w:rFonts w:ascii="Times New Roman" w:hAnsi="Times New Roman"/>
          <w:szCs w:val="24"/>
        </w:rPr>
        <w:t>An audit opinion can be provided on a disclosed basis of accounting.</w:t>
      </w:r>
    </w:p>
    <w:p w14:paraId="60672014" w14:textId="77777777" w:rsidR="006D016B" w:rsidRDefault="006D016B" w:rsidP="006D016B">
      <w:pPr>
        <w:pStyle w:val="bceasln"/>
        <w:tabs>
          <w:tab w:val="left" w:pos="360"/>
        </w:tabs>
        <w:ind w:left="711" w:hanging="711"/>
        <w:rPr>
          <w:sz w:val="24"/>
          <w:szCs w:val="24"/>
        </w:rPr>
      </w:pPr>
      <w:r w:rsidRPr="006D016B">
        <w:rPr>
          <w:b/>
          <w:sz w:val="24"/>
          <w:szCs w:val="24"/>
        </w:rPr>
        <w:t>T</w:t>
      </w:r>
      <w:r w:rsidRPr="006D016B">
        <w:rPr>
          <w:sz w:val="24"/>
          <w:szCs w:val="24"/>
        </w:rPr>
        <w:t xml:space="preserve"> 3. A disclosed basis of accounting is used to provide more useful information for the users.</w:t>
      </w:r>
    </w:p>
    <w:p w14:paraId="6F4697D3" w14:textId="77777777" w:rsidR="006D016B" w:rsidRDefault="006D016B" w:rsidP="006D016B">
      <w:pPr>
        <w:pStyle w:val="bceasln"/>
        <w:tabs>
          <w:tab w:val="left" w:pos="360"/>
        </w:tabs>
        <w:ind w:left="711" w:hanging="711"/>
        <w:rPr>
          <w:sz w:val="24"/>
          <w:szCs w:val="24"/>
        </w:rPr>
      </w:pPr>
      <w:r>
        <w:rPr>
          <w:b/>
          <w:sz w:val="24"/>
          <w:szCs w:val="24"/>
        </w:rPr>
        <w:t>T</w:t>
      </w:r>
      <w:r>
        <w:rPr>
          <w:sz w:val="24"/>
          <w:szCs w:val="24"/>
        </w:rPr>
        <w:t xml:space="preserve"> 4. </w:t>
      </w:r>
      <w:r w:rsidRPr="006D016B">
        <w:rPr>
          <w:sz w:val="24"/>
          <w:szCs w:val="24"/>
        </w:rPr>
        <w:t>Note disclosure is required if a disclosed basis of accounting is used.</w:t>
      </w:r>
    </w:p>
    <w:p w14:paraId="023B5D76" w14:textId="77777777" w:rsidR="006D016B" w:rsidRDefault="006D016B" w:rsidP="006D016B">
      <w:pPr>
        <w:pStyle w:val="bceasln"/>
        <w:tabs>
          <w:tab w:val="left" w:pos="360"/>
        </w:tabs>
        <w:ind w:left="711" w:hanging="711"/>
        <w:rPr>
          <w:sz w:val="24"/>
          <w:szCs w:val="24"/>
        </w:rPr>
      </w:pPr>
      <w:r>
        <w:rPr>
          <w:b/>
          <w:sz w:val="24"/>
          <w:szCs w:val="24"/>
        </w:rPr>
        <w:t>F</w:t>
      </w:r>
      <w:r>
        <w:rPr>
          <w:sz w:val="24"/>
          <w:szCs w:val="24"/>
        </w:rPr>
        <w:t xml:space="preserve"> 5. </w:t>
      </w:r>
      <w:r w:rsidRPr="006D016B">
        <w:rPr>
          <w:sz w:val="24"/>
          <w:szCs w:val="24"/>
        </w:rPr>
        <w:t>A public company can use a disclosed basis of accounting.</w:t>
      </w:r>
      <w:r w:rsidR="00615A5A">
        <w:rPr>
          <w:sz w:val="24"/>
          <w:szCs w:val="24"/>
        </w:rPr>
        <w:t xml:space="preserve"> A p</w:t>
      </w:r>
      <w:r>
        <w:rPr>
          <w:sz w:val="24"/>
          <w:szCs w:val="24"/>
        </w:rPr>
        <w:t>ublic company is required to use IFRS.</w:t>
      </w:r>
      <w:r w:rsidR="00FD2C23">
        <w:rPr>
          <w:sz w:val="24"/>
          <w:szCs w:val="24"/>
        </w:rPr>
        <w:t xml:space="preserve"> They cannot use DBA.</w:t>
      </w:r>
    </w:p>
    <w:p w14:paraId="3A7D293F" w14:textId="77777777" w:rsidR="006D016B" w:rsidRPr="006D016B" w:rsidRDefault="006D016B" w:rsidP="006D016B">
      <w:pPr>
        <w:pStyle w:val="bceasln"/>
        <w:tabs>
          <w:tab w:val="left" w:pos="360"/>
        </w:tabs>
        <w:ind w:left="711" w:hanging="711"/>
        <w:rPr>
          <w:sz w:val="24"/>
          <w:szCs w:val="24"/>
        </w:rPr>
      </w:pPr>
      <w:r w:rsidRPr="006D016B">
        <w:rPr>
          <w:sz w:val="24"/>
          <w:szCs w:val="24"/>
        </w:rPr>
        <w:t xml:space="preserve"> </w:t>
      </w:r>
    </w:p>
    <w:p w14:paraId="6EA42443" w14:textId="77777777" w:rsidR="006D016B" w:rsidRPr="006D016B" w:rsidRDefault="006D016B" w:rsidP="008F6D8D"/>
    <w:p w14:paraId="2A100F09" w14:textId="77777777" w:rsidR="00A1704C" w:rsidRPr="00A1704C" w:rsidRDefault="00A1704C" w:rsidP="00A1704C"/>
    <w:p w14:paraId="451D86F0" w14:textId="77777777" w:rsidR="00A1704C" w:rsidRPr="00A1704C" w:rsidRDefault="00A1704C" w:rsidP="00A1704C"/>
    <w:p w14:paraId="18CE87A5" w14:textId="77777777" w:rsidR="00A1704C" w:rsidRPr="00A1704C" w:rsidRDefault="00A1704C" w:rsidP="00A1704C"/>
    <w:p w14:paraId="46369258" w14:textId="77777777" w:rsidR="00A1704C" w:rsidRPr="00A1704C" w:rsidRDefault="00A1704C" w:rsidP="00A1704C"/>
    <w:p w14:paraId="369905CC" w14:textId="77777777" w:rsidR="00A1704C" w:rsidRPr="00A1704C" w:rsidRDefault="00A1704C" w:rsidP="00A1704C"/>
    <w:p w14:paraId="2780360F" w14:textId="77777777" w:rsidR="00A1704C" w:rsidRPr="00A1704C" w:rsidRDefault="00A1704C" w:rsidP="00A1704C"/>
    <w:p w14:paraId="7CA693D8" w14:textId="77777777" w:rsidR="00A1704C" w:rsidRPr="00A1704C" w:rsidRDefault="00A1704C" w:rsidP="00A1704C"/>
    <w:p w14:paraId="1D82C0BA" w14:textId="77777777" w:rsidR="00A1704C" w:rsidRDefault="00A1704C" w:rsidP="00C258E0">
      <w:pPr>
        <w:tabs>
          <w:tab w:val="left" w:pos="440"/>
          <w:tab w:val="left" w:pos="4680"/>
        </w:tabs>
      </w:pPr>
    </w:p>
    <w:p w14:paraId="3C2871C4" w14:textId="77777777" w:rsidR="00A1704C" w:rsidRDefault="00A1704C" w:rsidP="00A1704C">
      <w:pPr>
        <w:tabs>
          <w:tab w:val="left" w:pos="6048"/>
        </w:tabs>
      </w:pPr>
      <w:r>
        <w:tab/>
      </w:r>
    </w:p>
    <w:p w14:paraId="76A15001" w14:textId="77777777" w:rsidR="00C258E0" w:rsidRDefault="00BF3984" w:rsidP="00C258E0">
      <w:pPr>
        <w:tabs>
          <w:tab w:val="left" w:pos="440"/>
          <w:tab w:val="left" w:pos="4680"/>
        </w:tabs>
        <w:rPr>
          <w:b/>
        </w:rPr>
      </w:pPr>
      <w:r w:rsidRPr="00A1704C">
        <w:br w:type="page"/>
      </w:r>
      <w:r w:rsidR="006A7C23">
        <w:lastRenderedPageBreak/>
        <w:t xml:space="preserve"> </w:t>
      </w:r>
      <w:r w:rsidR="00C258E0">
        <w:rPr>
          <w:b/>
        </w:rPr>
        <w:t>T</w:t>
      </w:r>
      <w:r w:rsidR="006D016B">
        <w:rPr>
          <w:b/>
        </w:rPr>
        <w:t>R</w:t>
      </w:r>
      <w:r w:rsidR="00C258E0">
        <w:rPr>
          <w:b/>
        </w:rPr>
        <w:t xml:space="preserve"> 1-</w:t>
      </w:r>
      <w:r w:rsidR="006D016B">
        <w:rPr>
          <w:b/>
        </w:rPr>
        <w:t>7</w:t>
      </w:r>
      <w:r w:rsidR="008B1727">
        <w:rPr>
          <w:b/>
        </w:rPr>
        <w:t xml:space="preserve"> </w:t>
      </w:r>
      <w:r w:rsidR="008B1727" w:rsidRPr="008B1727">
        <w:rPr>
          <w:szCs w:val="24"/>
        </w:rPr>
        <w:t>(LO1.</w:t>
      </w:r>
      <w:r w:rsidR="008B1727">
        <w:rPr>
          <w:szCs w:val="24"/>
        </w:rPr>
        <w:t>1,</w:t>
      </w:r>
      <w:r w:rsidR="008B1727">
        <w:t xml:space="preserve"> LO1.3, LO1.4)</w:t>
      </w:r>
    </w:p>
    <w:p w14:paraId="25873478" w14:textId="77777777" w:rsidR="00A83230" w:rsidRDefault="00A83230" w:rsidP="00C258E0">
      <w:pPr>
        <w:tabs>
          <w:tab w:val="left" w:pos="260"/>
          <w:tab w:val="left" w:pos="2160"/>
        </w:tabs>
      </w:pPr>
    </w:p>
    <w:p w14:paraId="4EF4AE0B" w14:textId="77777777" w:rsidR="00F70D17" w:rsidRPr="006C7C2F" w:rsidRDefault="00F70D17" w:rsidP="00F70D17">
      <w:pPr>
        <w:pStyle w:val="bceasln"/>
        <w:tabs>
          <w:tab w:val="left" w:pos="360"/>
        </w:tabs>
        <w:ind w:left="711" w:hanging="711"/>
        <w:rPr>
          <w:sz w:val="24"/>
          <w:szCs w:val="24"/>
        </w:rPr>
      </w:pPr>
      <w:r w:rsidRPr="006C7C2F">
        <w:rPr>
          <w:sz w:val="24"/>
          <w:szCs w:val="24"/>
        </w:rPr>
        <w:t>1.</w:t>
      </w:r>
      <w:r w:rsidR="009C63CF" w:rsidRPr="006C7C2F">
        <w:rPr>
          <w:sz w:val="24"/>
          <w:szCs w:val="24"/>
        </w:rPr>
        <w:t> </w:t>
      </w:r>
      <w:r w:rsidRPr="006C7C2F">
        <w:rPr>
          <w:sz w:val="24"/>
          <w:szCs w:val="24"/>
        </w:rPr>
        <w:t> </w:t>
      </w:r>
      <w:r w:rsidRPr="006C7C2F">
        <w:rPr>
          <w:b/>
          <w:sz w:val="24"/>
          <w:szCs w:val="24"/>
        </w:rPr>
        <w:t>F</w:t>
      </w:r>
      <w:r w:rsidRPr="006C7C2F">
        <w:rPr>
          <w:sz w:val="24"/>
          <w:szCs w:val="24"/>
        </w:rPr>
        <w:tab/>
      </w:r>
      <w:r w:rsidR="006C7C2F">
        <w:rPr>
          <w:sz w:val="24"/>
          <w:szCs w:val="24"/>
        </w:rPr>
        <w:t xml:space="preserve">A private company based in Canada must follow the recommendations of the </w:t>
      </w:r>
      <w:r w:rsidR="006C7C2F">
        <w:rPr>
          <w:i/>
          <w:sz w:val="24"/>
          <w:szCs w:val="24"/>
        </w:rPr>
        <w:t xml:space="preserve">CPA Canada </w:t>
      </w:r>
      <w:r w:rsidR="006C7C2F" w:rsidRPr="006C7C2F">
        <w:rPr>
          <w:sz w:val="24"/>
          <w:szCs w:val="24"/>
        </w:rPr>
        <w:t>Handbook</w:t>
      </w:r>
      <w:r w:rsidR="006C7C2F">
        <w:rPr>
          <w:sz w:val="24"/>
          <w:szCs w:val="24"/>
        </w:rPr>
        <w:t xml:space="preserve">. </w:t>
      </w:r>
      <w:r w:rsidRPr="006C7C2F">
        <w:rPr>
          <w:sz w:val="24"/>
          <w:szCs w:val="24"/>
        </w:rPr>
        <w:t xml:space="preserve">Most private Canadian companies report on the basis of either IFRS or ASPE, both of which are contained in the </w:t>
      </w:r>
      <w:r w:rsidRPr="006C7C2F">
        <w:rPr>
          <w:i/>
          <w:sz w:val="24"/>
          <w:szCs w:val="24"/>
        </w:rPr>
        <w:t>C</w:t>
      </w:r>
      <w:r w:rsidR="0079294F">
        <w:rPr>
          <w:i/>
          <w:sz w:val="24"/>
          <w:szCs w:val="24"/>
        </w:rPr>
        <w:t>PA Canada</w:t>
      </w:r>
      <w:r w:rsidRPr="006C7C2F">
        <w:rPr>
          <w:i/>
          <w:sz w:val="24"/>
          <w:szCs w:val="24"/>
        </w:rPr>
        <w:t xml:space="preserve"> Handbook</w:t>
      </w:r>
      <w:r w:rsidRPr="006C7C2F">
        <w:rPr>
          <w:sz w:val="24"/>
          <w:szCs w:val="24"/>
        </w:rPr>
        <w:t xml:space="preserve">. However, private companies may also choose to use a disclosed basis of accounting, one in which the company’s accounting standards differ in one or more respects from the recommendations in the </w:t>
      </w:r>
      <w:r w:rsidRPr="006C7C2F">
        <w:rPr>
          <w:i/>
          <w:sz w:val="24"/>
          <w:szCs w:val="24"/>
        </w:rPr>
        <w:t>C</w:t>
      </w:r>
      <w:r w:rsidR="0079294F">
        <w:rPr>
          <w:i/>
          <w:sz w:val="24"/>
          <w:szCs w:val="24"/>
        </w:rPr>
        <w:t>P</w:t>
      </w:r>
      <w:r w:rsidRPr="006C7C2F">
        <w:rPr>
          <w:i/>
          <w:sz w:val="24"/>
          <w:szCs w:val="24"/>
        </w:rPr>
        <w:t>A</w:t>
      </w:r>
      <w:r w:rsidR="0079294F">
        <w:rPr>
          <w:i/>
          <w:sz w:val="24"/>
          <w:szCs w:val="24"/>
        </w:rPr>
        <w:t xml:space="preserve"> Canada</w:t>
      </w:r>
      <w:r w:rsidRPr="006C7C2F">
        <w:rPr>
          <w:i/>
          <w:sz w:val="24"/>
          <w:szCs w:val="24"/>
        </w:rPr>
        <w:t xml:space="preserve"> Handbook</w:t>
      </w:r>
      <w:r w:rsidRPr="006C7C2F">
        <w:rPr>
          <w:sz w:val="24"/>
          <w:szCs w:val="24"/>
        </w:rPr>
        <w:t xml:space="preserve">, either Part I or Part II. </w:t>
      </w:r>
    </w:p>
    <w:p w14:paraId="1BC5BCA8" w14:textId="77777777" w:rsidR="009C63CF" w:rsidRPr="006C7C2F" w:rsidRDefault="009C63CF" w:rsidP="006C7C2F">
      <w:pPr>
        <w:pStyle w:val="bceasln"/>
        <w:tabs>
          <w:tab w:val="left" w:pos="360"/>
        </w:tabs>
        <w:ind w:left="711" w:hanging="711"/>
        <w:rPr>
          <w:sz w:val="24"/>
          <w:szCs w:val="24"/>
        </w:rPr>
      </w:pPr>
      <w:r w:rsidRPr="006C7C2F">
        <w:rPr>
          <w:sz w:val="24"/>
          <w:szCs w:val="24"/>
        </w:rPr>
        <w:t>2.</w:t>
      </w:r>
      <w:r w:rsidRPr="006C7C2F">
        <w:rPr>
          <w:sz w:val="24"/>
          <w:szCs w:val="24"/>
        </w:rPr>
        <w:t> </w:t>
      </w:r>
      <w:r w:rsidRPr="006C7C2F">
        <w:rPr>
          <w:sz w:val="24"/>
          <w:szCs w:val="24"/>
        </w:rPr>
        <w:t> </w:t>
      </w:r>
      <w:r w:rsidRPr="006C7C2F">
        <w:rPr>
          <w:b/>
          <w:sz w:val="24"/>
          <w:szCs w:val="24"/>
        </w:rPr>
        <w:t>F</w:t>
      </w:r>
      <w:r w:rsidRPr="006C7C2F">
        <w:rPr>
          <w:sz w:val="24"/>
          <w:szCs w:val="24"/>
        </w:rPr>
        <w:tab/>
      </w:r>
      <w:r w:rsidR="006C7C2F" w:rsidRPr="006C7C2F">
        <w:rPr>
          <w:sz w:val="24"/>
          <w:szCs w:val="24"/>
        </w:rPr>
        <w:t>A company that reports in U.S. dollars must use U.S. accounting standards.</w:t>
      </w:r>
      <w:r w:rsidR="006C7C2F">
        <w:rPr>
          <w:sz w:val="24"/>
          <w:szCs w:val="24"/>
        </w:rPr>
        <w:t xml:space="preserve"> </w:t>
      </w:r>
      <w:r w:rsidRPr="006C7C2F">
        <w:rPr>
          <w:sz w:val="24"/>
          <w:szCs w:val="24"/>
        </w:rPr>
        <w:t>There is no requirement that a company’s presentation currency be that of the country on which its accounting standards are based.</w:t>
      </w:r>
    </w:p>
    <w:p w14:paraId="0BE338A6" w14:textId="77777777" w:rsidR="009C63CF" w:rsidRPr="006C7C2F" w:rsidRDefault="009C63CF" w:rsidP="006C7C2F">
      <w:pPr>
        <w:pStyle w:val="bceasln"/>
        <w:tabs>
          <w:tab w:val="left" w:pos="360"/>
        </w:tabs>
        <w:ind w:left="711" w:hanging="711"/>
        <w:rPr>
          <w:sz w:val="24"/>
          <w:szCs w:val="24"/>
        </w:rPr>
      </w:pPr>
      <w:r w:rsidRPr="006C7C2F">
        <w:rPr>
          <w:sz w:val="24"/>
          <w:szCs w:val="24"/>
        </w:rPr>
        <w:t>3.</w:t>
      </w:r>
      <w:r w:rsidRPr="006C7C2F">
        <w:rPr>
          <w:sz w:val="24"/>
          <w:szCs w:val="24"/>
        </w:rPr>
        <w:t> </w:t>
      </w:r>
      <w:r w:rsidRPr="006C7C2F">
        <w:rPr>
          <w:sz w:val="24"/>
          <w:szCs w:val="24"/>
        </w:rPr>
        <w:t> </w:t>
      </w:r>
      <w:r w:rsidRPr="006C7C2F">
        <w:rPr>
          <w:b/>
          <w:sz w:val="24"/>
          <w:szCs w:val="24"/>
        </w:rPr>
        <w:t>F</w:t>
      </w:r>
      <w:r w:rsidRPr="006C7C2F">
        <w:rPr>
          <w:sz w:val="24"/>
          <w:szCs w:val="24"/>
        </w:rPr>
        <w:tab/>
      </w:r>
      <w:r w:rsidR="006C7C2F" w:rsidRPr="006C7C2F">
        <w:rPr>
          <w:sz w:val="24"/>
          <w:szCs w:val="24"/>
        </w:rPr>
        <w:t xml:space="preserve">A company cannot report under Canadian accounting standards unless it uses Canadian dollars as the unit of presentation in its financial statements. </w:t>
      </w:r>
      <w:r w:rsidRPr="006C7C2F">
        <w:rPr>
          <w:sz w:val="24"/>
          <w:szCs w:val="24"/>
        </w:rPr>
        <w:t>Same as above–the company’s presentation currency is not tied to its accounting standards.</w:t>
      </w:r>
    </w:p>
    <w:p w14:paraId="2700F3F3" w14:textId="77777777" w:rsidR="006C7C2F" w:rsidRPr="006C7C2F" w:rsidRDefault="009C63CF" w:rsidP="00E56ECB">
      <w:pPr>
        <w:pStyle w:val="bceaclnAssignments"/>
        <w:widowControl/>
        <w:spacing w:before="0" w:after="120" w:line="240" w:lineRule="auto"/>
        <w:ind w:left="711" w:hanging="711"/>
        <w:rPr>
          <w:rFonts w:ascii="Times New Roman" w:hAnsi="Times New Roman" w:cs="Times New Roman"/>
          <w:color w:val="auto"/>
          <w:sz w:val="24"/>
          <w:szCs w:val="24"/>
        </w:rPr>
      </w:pPr>
      <w:r w:rsidRPr="006C7C2F">
        <w:rPr>
          <w:rFonts w:ascii="Times New Roman" w:hAnsi="Times New Roman" w:cs="Times New Roman"/>
          <w:sz w:val="24"/>
          <w:szCs w:val="24"/>
        </w:rPr>
        <w:t>4.</w:t>
      </w:r>
      <w:r w:rsidRPr="006C7C2F">
        <w:rPr>
          <w:rFonts w:ascii="Times New Roman" w:hAnsi="Times New Roman" w:cs="Times New Roman"/>
          <w:sz w:val="24"/>
          <w:szCs w:val="24"/>
        </w:rPr>
        <w:t> </w:t>
      </w:r>
      <w:r w:rsidRPr="006C7C2F">
        <w:rPr>
          <w:rFonts w:ascii="Times New Roman" w:hAnsi="Times New Roman" w:cs="Times New Roman"/>
          <w:sz w:val="24"/>
          <w:szCs w:val="24"/>
        </w:rPr>
        <w:t> </w:t>
      </w:r>
      <w:r w:rsidRPr="006C7C2F">
        <w:rPr>
          <w:rFonts w:ascii="Times New Roman" w:hAnsi="Times New Roman" w:cs="Times New Roman"/>
          <w:b/>
          <w:sz w:val="24"/>
          <w:szCs w:val="24"/>
        </w:rPr>
        <w:t>T</w:t>
      </w:r>
      <w:r w:rsidRPr="006C7C2F">
        <w:rPr>
          <w:rFonts w:ascii="Times New Roman" w:hAnsi="Times New Roman" w:cs="Times New Roman"/>
          <w:sz w:val="24"/>
          <w:szCs w:val="24"/>
        </w:rPr>
        <w:tab/>
      </w:r>
      <w:r w:rsidR="006C7C2F" w:rsidRPr="006C7C2F">
        <w:rPr>
          <w:rFonts w:ascii="Times New Roman" w:hAnsi="Times New Roman" w:cs="Times New Roman"/>
          <w:color w:val="auto"/>
          <w:sz w:val="24"/>
          <w:szCs w:val="24"/>
        </w:rPr>
        <w:t xml:space="preserve">A Canadian company that is listed on the </w:t>
      </w:r>
      <w:r w:rsidR="005238D8" w:rsidRPr="006C7C2F">
        <w:rPr>
          <w:rFonts w:ascii="Times New Roman" w:hAnsi="Times New Roman" w:cs="Times New Roman"/>
          <w:color w:val="auto"/>
          <w:sz w:val="24"/>
          <w:szCs w:val="24"/>
        </w:rPr>
        <w:t>TS</w:t>
      </w:r>
      <w:r w:rsidR="005238D8">
        <w:rPr>
          <w:rFonts w:ascii="Times New Roman" w:hAnsi="Times New Roman" w:cs="Times New Roman"/>
          <w:color w:val="auto"/>
          <w:sz w:val="24"/>
          <w:szCs w:val="24"/>
        </w:rPr>
        <w:t>X</w:t>
      </w:r>
      <w:r w:rsidR="005238D8" w:rsidRPr="006C7C2F">
        <w:rPr>
          <w:rFonts w:ascii="Times New Roman" w:hAnsi="Times New Roman" w:cs="Times New Roman"/>
          <w:color w:val="auto"/>
          <w:sz w:val="24"/>
          <w:szCs w:val="24"/>
        </w:rPr>
        <w:t xml:space="preserve"> </w:t>
      </w:r>
      <w:r w:rsidR="006C7C2F" w:rsidRPr="006C7C2F">
        <w:rPr>
          <w:rFonts w:ascii="Times New Roman" w:hAnsi="Times New Roman" w:cs="Times New Roman"/>
          <w:color w:val="auto"/>
          <w:sz w:val="24"/>
          <w:szCs w:val="24"/>
        </w:rPr>
        <w:t>may use U.S. accounting standards</w:t>
      </w:r>
      <w:r w:rsidR="005238D8">
        <w:rPr>
          <w:rFonts w:ascii="Times New Roman" w:hAnsi="Times New Roman" w:cs="Times New Roman"/>
          <w:color w:val="auto"/>
          <w:sz w:val="24"/>
          <w:szCs w:val="24"/>
        </w:rPr>
        <w:t xml:space="preserve"> </w:t>
      </w:r>
      <w:r w:rsidR="005238D8" w:rsidRPr="005238D8">
        <w:rPr>
          <w:rFonts w:ascii="Times New Roman" w:hAnsi="Times New Roman" w:cs="Times New Roman"/>
          <w:color w:val="auto"/>
          <w:sz w:val="24"/>
          <w:szCs w:val="24"/>
        </w:rPr>
        <w:t>if they also file their financial statements in the U.S</w:t>
      </w:r>
      <w:r w:rsidR="006C7C2F" w:rsidRPr="006C7C2F">
        <w:rPr>
          <w:rFonts w:ascii="Times New Roman" w:hAnsi="Times New Roman" w:cs="Times New Roman"/>
          <w:color w:val="auto"/>
          <w:sz w:val="24"/>
          <w:szCs w:val="24"/>
        </w:rPr>
        <w:t>.</w:t>
      </w:r>
      <w:r w:rsidR="005238D8">
        <w:rPr>
          <w:rFonts w:ascii="Times New Roman" w:hAnsi="Times New Roman" w:cs="Times New Roman"/>
          <w:color w:val="auto"/>
          <w:sz w:val="24"/>
          <w:szCs w:val="24"/>
        </w:rPr>
        <w:t xml:space="preserve"> </w:t>
      </w:r>
    </w:p>
    <w:p w14:paraId="6A9B7B3B" w14:textId="77777777" w:rsidR="009C63CF" w:rsidRDefault="009C63CF" w:rsidP="006C7C2F">
      <w:pPr>
        <w:pStyle w:val="bceasln"/>
        <w:tabs>
          <w:tab w:val="left" w:pos="360"/>
        </w:tabs>
        <w:ind w:left="711" w:hanging="711"/>
        <w:rPr>
          <w:sz w:val="24"/>
          <w:szCs w:val="24"/>
        </w:rPr>
      </w:pPr>
      <w:r w:rsidRPr="006C7C2F">
        <w:rPr>
          <w:sz w:val="24"/>
          <w:szCs w:val="24"/>
        </w:rPr>
        <w:t>5.</w:t>
      </w:r>
      <w:r w:rsidRPr="006C7C2F">
        <w:rPr>
          <w:sz w:val="24"/>
          <w:szCs w:val="24"/>
        </w:rPr>
        <w:t> </w:t>
      </w:r>
      <w:r w:rsidRPr="006C7C2F">
        <w:rPr>
          <w:sz w:val="24"/>
          <w:szCs w:val="24"/>
        </w:rPr>
        <w:t> </w:t>
      </w:r>
      <w:r w:rsidRPr="006C7C2F">
        <w:rPr>
          <w:b/>
          <w:sz w:val="24"/>
          <w:szCs w:val="24"/>
        </w:rPr>
        <w:t>F</w:t>
      </w:r>
      <w:r w:rsidRPr="006C7C2F">
        <w:rPr>
          <w:sz w:val="24"/>
          <w:szCs w:val="24"/>
        </w:rPr>
        <w:tab/>
      </w:r>
      <w:r w:rsidR="006C7C2F" w:rsidRPr="006C7C2F">
        <w:rPr>
          <w:sz w:val="24"/>
          <w:szCs w:val="24"/>
        </w:rPr>
        <w:t>All companies listed on the NYSE must use U.S. accounting standards.</w:t>
      </w:r>
      <w:r w:rsidR="006C7C2F">
        <w:rPr>
          <w:sz w:val="24"/>
          <w:szCs w:val="24"/>
        </w:rPr>
        <w:t xml:space="preserve"> </w:t>
      </w:r>
      <w:r w:rsidRPr="006C7C2F">
        <w:rPr>
          <w:sz w:val="24"/>
          <w:szCs w:val="24"/>
        </w:rPr>
        <w:t>A reporting entity that is based outside the U.S. may use either U.S. standards or IFRS.</w:t>
      </w:r>
    </w:p>
    <w:p w14:paraId="69D36AFC" w14:textId="77777777" w:rsidR="006C7C2F" w:rsidRDefault="006C7C2F" w:rsidP="006C7C2F">
      <w:pPr>
        <w:pStyle w:val="bceasln"/>
        <w:tabs>
          <w:tab w:val="left" w:pos="360"/>
        </w:tabs>
        <w:ind w:left="711" w:hanging="711"/>
        <w:rPr>
          <w:sz w:val="24"/>
          <w:szCs w:val="24"/>
        </w:rPr>
      </w:pPr>
    </w:p>
    <w:p w14:paraId="6EBC3C9B" w14:textId="2C8CB7B7" w:rsidR="006C7C2F" w:rsidRDefault="006C7C2F" w:rsidP="006C7C2F">
      <w:pPr>
        <w:pStyle w:val="bceasln"/>
        <w:tabs>
          <w:tab w:val="left" w:pos="360"/>
        </w:tabs>
        <w:ind w:left="711" w:hanging="711"/>
        <w:rPr>
          <w:b/>
          <w:sz w:val="24"/>
          <w:szCs w:val="24"/>
        </w:rPr>
      </w:pPr>
      <w:r>
        <w:rPr>
          <w:sz w:val="24"/>
          <w:szCs w:val="24"/>
        </w:rPr>
        <w:br w:type="page"/>
      </w:r>
      <w:r>
        <w:rPr>
          <w:b/>
          <w:sz w:val="24"/>
          <w:szCs w:val="24"/>
        </w:rPr>
        <w:lastRenderedPageBreak/>
        <w:t>TR1-8</w:t>
      </w:r>
      <w:r w:rsidR="008B1727">
        <w:rPr>
          <w:b/>
          <w:sz w:val="24"/>
          <w:szCs w:val="24"/>
        </w:rPr>
        <w:t xml:space="preserve"> </w:t>
      </w:r>
      <w:r w:rsidR="008B1727" w:rsidRPr="002655C5">
        <w:rPr>
          <w:sz w:val="24"/>
          <w:szCs w:val="24"/>
        </w:rPr>
        <w:t>(LO1.</w:t>
      </w:r>
      <w:r w:rsidR="002655C5">
        <w:rPr>
          <w:sz w:val="24"/>
          <w:szCs w:val="24"/>
        </w:rPr>
        <w:t>1</w:t>
      </w:r>
      <w:r w:rsidR="008B1727" w:rsidRPr="002655C5">
        <w:rPr>
          <w:sz w:val="24"/>
          <w:szCs w:val="24"/>
        </w:rPr>
        <w:t>, LO1.3, LO1.4)</w:t>
      </w:r>
    </w:p>
    <w:p w14:paraId="466DF833" w14:textId="77777777" w:rsidR="006C7C2F" w:rsidRPr="006C7C2F" w:rsidRDefault="006C7C2F" w:rsidP="006C7C2F">
      <w:pPr>
        <w:pStyle w:val="bceasln"/>
        <w:tabs>
          <w:tab w:val="left" w:pos="360"/>
        </w:tabs>
        <w:ind w:left="711" w:hanging="711"/>
        <w:rPr>
          <w:b/>
          <w:sz w:val="24"/>
          <w:szCs w:val="24"/>
        </w:rPr>
      </w:pPr>
    </w:p>
    <w:p w14:paraId="03D799F8" w14:textId="77777777" w:rsidR="009C63CF" w:rsidRPr="000003FE" w:rsidRDefault="006C7C2F" w:rsidP="000003FE">
      <w:pPr>
        <w:pStyle w:val="bceasln"/>
        <w:tabs>
          <w:tab w:val="left" w:pos="360"/>
        </w:tabs>
        <w:ind w:left="711" w:hanging="711"/>
        <w:rPr>
          <w:sz w:val="24"/>
          <w:szCs w:val="24"/>
        </w:rPr>
      </w:pPr>
      <w:r w:rsidRPr="006C7C2F">
        <w:rPr>
          <w:sz w:val="24"/>
          <w:szCs w:val="24"/>
        </w:rPr>
        <w:t>1</w:t>
      </w:r>
      <w:r w:rsidR="009C63CF" w:rsidRPr="006C7C2F">
        <w:rPr>
          <w:sz w:val="24"/>
          <w:szCs w:val="24"/>
        </w:rPr>
        <w:t>.</w:t>
      </w:r>
      <w:r w:rsidR="009C63CF" w:rsidRPr="006C7C2F">
        <w:rPr>
          <w:sz w:val="24"/>
          <w:szCs w:val="24"/>
        </w:rPr>
        <w:t> </w:t>
      </w:r>
      <w:r w:rsidR="009C63CF" w:rsidRPr="006C7C2F">
        <w:rPr>
          <w:sz w:val="24"/>
          <w:szCs w:val="24"/>
        </w:rPr>
        <w:t> </w:t>
      </w:r>
      <w:r w:rsidR="009C63CF" w:rsidRPr="000003FE">
        <w:rPr>
          <w:b/>
          <w:sz w:val="24"/>
          <w:szCs w:val="24"/>
        </w:rPr>
        <w:t>F</w:t>
      </w:r>
      <w:r w:rsidR="009C63CF" w:rsidRPr="006C7C2F">
        <w:rPr>
          <w:sz w:val="24"/>
          <w:szCs w:val="24"/>
        </w:rPr>
        <w:tab/>
      </w:r>
      <w:r w:rsidRPr="006C7C2F">
        <w:rPr>
          <w:sz w:val="24"/>
          <w:szCs w:val="24"/>
        </w:rPr>
        <w:t>The U.S. SEC will accept financial statements from U.S.-listed foreign companies in their home-country accounting standards.</w:t>
      </w:r>
      <w:r>
        <w:rPr>
          <w:sz w:val="24"/>
          <w:szCs w:val="24"/>
        </w:rPr>
        <w:t xml:space="preserve"> </w:t>
      </w:r>
      <w:r w:rsidR="009C63CF" w:rsidRPr="000003FE">
        <w:rPr>
          <w:sz w:val="24"/>
          <w:szCs w:val="24"/>
        </w:rPr>
        <w:t xml:space="preserve">The </w:t>
      </w:r>
      <w:r w:rsidR="008553C0">
        <w:rPr>
          <w:sz w:val="24"/>
          <w:szCs w:val="24"/>
        </w:rPr>
        <w:t xml:space="preserve">U.S. </w:t>
      </w:r>
      <w:r w:rsidR="009C63CF" w:rsidRPr="000003FE">
        <w:rPr>
          <w:sz w:val="24"/>
          <w:szCs w:val="24"/>
        </w:rPr>
        <w:t>SEC</w:t>
      </w:r>
      <w:r w:rsidR="008553C0">
        <w:rPr>
          <w:sz w:val="24"/>
          <w:szCs w:val="24"/>
        </w:rPr>
        <w:t xml:space="preserve"> permits IFRS to be used when a foreign</w:t>
      </w:r>
      <w:r w:rsidR="00860215">
        <w:rPr>
          <w:sz w:val="24"/>
          <w:szCs w:val="24"/>
        </w:rPr>
        <w:t>-</w:t>
      </w:r>
      <w:r w:rsidR="008553C0">
        <w:rPr>
          <w:sz w:val="24"/>
          <w:szCs w:val="24"/>
        </w:rPr>
        <w:t xml:space="preserve">listed company requires IFRS. Therefore U.S.-listed foreign companies </w:t>
      </w:r>
      <w:r w:rsidR="004F7176" w:rsidRPr="000003FE">
        <w:rPr>
          <w:sz w:val="24"/>
          <w:szCs w:val="24"/>
        </w:rPr>
        <w:t>can use either U.S. GAAP or IFRS.</w:t>
      </w:r>
    </w:p>
    <w:p w14:paraId="013A5F9E" w14:textId="77777777" w:rsidR="009C63CF" w:rsidRPr="006C7C2F" w:rsidRDefault="000003FE" w:rsidP="009C63CF">
      <w:pPr>
        <w:pStyle w:val="bceasln"/>
        <w:tabs>
          <w:tab w:val="left" w:pos="360"/>
        </w:tabs>
        <w:ind w:left="711" w:hanging="711"/>
        <w:rPr>
          <w:sz w:val="24"/>
          <w:szCs w:val="24"/>
        </w:rPr>
      </w:pPr>
      <w:r>
        <w:rPr>
          <w:sz w:val="24"/>
          <w:szCs w:val="24"/>
        </w:rPr>
        <w:t>2</w:t>
      </w:r>
      <w:r w:rsidR="009C63CF" w:rsidRPr="006C7C2F">
        <w:rPr>
          <w:sz w:val="24"/>
          <w:szCs w:val="24"/>
        </w:rPr>
        <w:t>.</w:t>
      </w:r>
      <w:r w:rsidR="009C63CF" w:rsidRPr="006C7C2F">
        <w:rPr>
          <w:sz w:val="24"/>
          <w:szCs w:val="24"/>
        </w:rPr>
        <w:t> </w:t>
      </w:r>
      <w:r w:rsidR="009C63CF" w:rsidRPr="006C7C2F">
        <w:rPr>
          <w:sz w:val="24"/>
          <w:szCs w:val="24"/>
        </w:rPr>
        <w:t> </w:t>
      </w:r>
      <w:r w:rsidR="009C63CF" w:rsidRPr="006C7C2F">
        <w:rPr>
          <w:b/>
          <w:sz w:val="24"/>
          <w:szCs w:val="24"/>
        </w:rPr>
        <w:t>F</w:t>
      </w:r>
      <w:r w:rsidR="009C63CF" w:rsidRPr="006C7C2F">
        <w:rPr>
          <w:sz w:val="24"/>
          <w:szCs w:val="24"/>
        </w:rPr>
        <w:tab/>
      </w:r>
      <w:r w:rsidRPr="000003FE">
        <w:rPr>
          <w:sz w:val="24"/>
          <w:szCs w:val="24"/>
        </w:rPr>
        <w:t>Each country that accepts IFRS commits to using the full set of standards.</w:t>
      </w:r>
      <w:r>
        <w:rPr>
          <w:sz w:val="24"/>
          <w:szCs w:val="24"/>
        </w:rPr>
        <w:t xml:space="preserve"> </w:t>
      </w:r>
      <w:r w:rsidR="004F7176" w:rsidRPr="006C7C2F">
        <w:rPr>
          <w:sz w:val="24"/>
          <w:szCs w:val="24"/>
        </w:rPr>
        <w:t xml:space="preserve">An individual country can choose to review each IFRS standard and accept it, reject it, or modify it to suit the national reporting environment. </w:t>
      </w:r>
    </w:p>
    <w:p w14:paraId="3772DD6E" w14:textId="77777777" w:rsidR="009C63CF" w:rsidRPr="006C7C2F" w:rsidRDefault="000003FE" w:rsidP="009C63CF">
      <w:pPr>
        <w:pStyle w:val="bceasln"/>
        <w:tabs>
          <w:tab w:val="left" w:pos="360"/>
        </w:tabs>
        <w:ind w:left="711" w:hanging="711"/>
        <w:rPr>
          <w:sz w:val="24"/>
          <w:szCs w:val="24"/>
        </w:rPr>
      </w:pPr>
      <w:r>
        <w:rPr>
          <w:sz w:val="24"/>
          <w:szCs w:val="24"/>
        </w:rPr>
        <w:t>3</w:t>
      </w:r>
      <w:r w:rsidR="009C63CF" w:rsidRPr="006C7C2F">
        <w:rPr>
          <w:sz w:val="24"/>
          <w:szCs w:val="24"/>
        </w:rPr>
        <w:t>.</w:t>
      </w:r>
      <w:r w:rsidR="009C63CF" w:rsidRPr="006C7C2F">
        <w:rPr>
          <w:sz w:val="24"/>
          <w:szCs w:val="24"/>
        </w:rPr>
        <w:t> </w:t>
      </w:r>
      <w:r w:rsidR="009C63CF" w:rsidRPr="006C7C2F">
        <w:rPr>
          <w:sz w:val="24"/>
          <w:szCs w:val="24"/>
        </w:rPr>
        <w:t> </w:t>
      </w:r>
      <w:r w:rsidR="009C63CF" w:rsidRPr="000003FE">
        <w:rPr>
          <w:b/>
          <w:sz w:val="24"/>
          <w:szCs w:val="24"/>
        </w:rPr>
        <w:t>F</w:t>
      </w:r>
      <w:r w:rsidR="009C63CF" w:rsidRPr="006C7C2F">
        <w:rPr>
          <w:sz w:val="24"/>
          <w:szCs w:val="24"/>
        </w:rPr>
        <w:tab/>
      </w:r>
      <w:r w:rsidRPr="000003FE">
        <w:rPr>
          <w:sz w:val="24"/>
          <w:szCs w:val="24"/>
        </w:rPr>
        <w:t>A Canadian private enterprise does not have access to outside investors if it uses Canadian ASPE.</w:t>
      </w:r>
      <w:r>
        <w:rPr>
          <w:sz w:val="24"/>
          <w:szCs w:val="24"/>
        </w:rPr>
        <w:t xml:space="preserve"> </w:t>
      </w:r>
      <w:r w:rsidR="004F7176" w:rsidRPr="006C7C2F">
        <w:rPr>
          <w:sz w:val="24"/>
          <w:szCs w:val="24"/>
        </w:rPr>
        <w:t>A private company can obtain “outside” capital from anywhere in the world from private equity investors or from debt issues.</w:t>
      </w:r>
    </w:p>
    <w:p w14:paraId="4CA5A52B" w14:textId="77777777" w:rsidR="009C63CF" w:rsidRPr="006C7C2F" w:rsidRDefault="000003FE" w:rsidP="009C63CF">
      <w:pPr>
        <w:pStyle w:val="bceasln"/>
        <w:tabs>
          <w:tab w:val="left" w:pos="360"/>
        </w:tabs>
        <w:ind w:left="711" w:hanging="711"/>
        <w:rPr>
          <w:sz w:val="24"/>
          <w:szCs w:val="24"/>
        </w:rPr>
      </w:pPr>
      <w:r>
        <w:rPr>
          <w:sz w:val="24"/>
          <w:szCs w:val="24"/>
        </w:rPr>
        <w:t>4</w:t>
      </w:r>
      <w:r w:rsidR="009C63CF" w:rsidRPr="006C7C2F">
        <w:rPr>
          <w:sz w:val="24"/>
          <w:szCs w:val="24"/>
        </w:rPr>
        <w:t>.</w:t>
      </w:r>
      <w:r w:rsidR="009C63CF" w:rsidRPr="006C7C2F">
        <w:rPr>
          <w:sz w:val="24"/>
          <w:szCs w:val="24"/>
        </w:rPr>
        <w:t> </w:t>
      </w:r>
      <w:r w:rsidR="009C63CF" w:rsidRPr="006C7C2F">
        <w:rPr>
          <w:sz w:val="24"/>
          <w:szCs w:val="24"/>
        </w:rPr>
        <w:t> </w:t>
      </w:r>
      <w:r w:rsidR="009C63CF" w:rsidRPr="000003FE">
        <w:rPr>
          <w:b/>
          <w:sz w:val="24"/>
          <w:szCs w:val="24"/>
        </w:rPr>
        <w:t>F</w:t>
      </w:r>
      <w:r w:rsidR="009C63CF" w:rsidRPr="006C7C2F">
        <w:rPr>
          <w:sz w:val="24"/>
          <w:szCs w:val="24"/>
        </w:rPr>
        <w:tab/>
      </w:r>
      <w:r w:rsidRPr="000003FE">
        <w:rPr>
          <w:sz w:val="24"/>
          <w:szCs w:val="24"/>
        </w:rPr>
        <w:t>Under Canadian ASPE, a company must report in its functional currency.</w:t>
      </w:r>
      <w:r>
        <w:rPr>
          <w:sz w:val="24"/>
          <w:szCs w:val="24"/>
        </w:rPr>
        <w:t xml:space="preserve"> I</w:t>
      </w:r>
      <w:r w:rsidR="00860215">
        <w:rPr>
          <w:sz w:val="24"/>
          <w:szCs w:val="24"/>
        </w:rPr>
        <w:t>n</w:t>
      </w:r>
      <w:r>
        <w:rPr>
          <w:sz w:val="24"/>
          <w:szCs w:val="24"/>
        </w:rPr>
        <w:t xml:space="preserve"> ASPE the term functional currency is not used in the standards. </w:t>
      </w:r>
      <w:r w:rsidR="004F7176" w:rsidRPr="006C7C2F">
        <w:rPr>
          <w:sz w:val="24"/>
          <w:szCs w:val="24"/>
        </w:rPr>
        <w:t xml:space="preserve">The currency </w:t>
      </w:r>
      <w:r>
        <w:rPr>
          <w:sz w:val="24"/>
          <w:szCs w:val="24"/>
        </w:rPr>
        <w:t xml:space="preserve">used for reporting on the financial statements is </w:t>
      </w:r>
      <w:r w:rsidR="004F7176" w:rsidRPr="006C7C2F">
        <w:rPr>
          <w:sz w:val="24"/>
          <w:szCs w:val="24"/>
        </w:rPr>
        <w:t>usually the</w:t>
      </w:r>
      <w:r>
        <w:rPr>
          <w:sz w:val="24"/>
          <w:szCs w:val="24"/>
        </w:rPr>
        <w:t xml:space="preserve"> same as the currency the</w:t>
      </w:r>
      <w:r w:rsidR="00860215">
        <w:rPr>
          <w:sz w:val="24"/>
          <w:szCs w:val="24"/>
        </w:rPr>
        <w:t xml:space="preserve"> company</w:t>
      </w:r>
      <w:r>
        <w:rPr>
          <w:sz w:val="24"/>
          <w:szCs w:val="24"/>
        </w:rPr>
        <w:t xml:space="preserve"> deal</w:t>
      </w:r>
      <w:r w:rsidR="00860215">
        <w:rPr>
          <w:sz w:val="24"/>
          <w:szCs w:val="24"/>
        </w:rPr>
        <w:t>s</w:t>
      </w:r>
      <w:r>
        <w:rPr>
          <w:sz w:val="24"/>
          <w:szCs w:val="24"/>
        </w:rPr>
        <w:t xml:space="preserve"> with on a daily basis.</w:t>
      </w:r>
      <w:r w:rsidR="004F7176" w:rsidRPr="006C7C2F">
        <w:rPr>
          <w:sz w:val="24"/>
          <w:szCs w:val="24"/>
        </w:rPr>
        <w:t xml:space="preserve"> A company may report in a</w:t>
      </w:r>
      <w:r>
        <w:rPr>
          <w:sz w:val="24"/>
          <w:szCs w:val="24"/>
        </w:rPr>
        <w:t>ny</w:t>
      </w:r>
      <w:r w:rsidR="004F7176" w:rsidRPr="006C7C2F">
        <w:rPr>
          <w:sz w:val="24"/>
          <w:szCs w:val="24"/>
        </w:rPr>
        <w:t xml:space="preserve"> currency for the convenience of its u</w:t>
      </w:r>
      <w:r>
        <w:rPr>
          <w:sz w:val="24"/>
          <w:szCs w:val="24"/>
        </w:rPr>
        <w:t>s</w:t>
      </w:r>
      <w:r w:rsidR="004F7176" w:rsidRPr="006C7C2F">
        <w:rPr>
          <w:sz w:val="24"/>
          <w:szCs w:val="24"/>
        </w:rPr>
        <w:t>ers</w:t>
      </w:r>
      <w:r>
        <w:rPr>
          <w:sz w:val="24"/>
          <w:szCs w:val="24"/>
        </w:rPr>
        <w:t>.</w:t>
      </w:r>
      <w:r w:rsidR="004F7176" w:rsidRPr="006C7C2F">
        <w:rPr>
          <w:sz w:val="24"/>
          <w:szCs w:val="24"/>
        </w:rPr>
        <w:t xml:space="preserve"> </w:t>
      </w:r>
    </w:p>
    <w:p w14:paraId="09BE509F" w14:textId="77777777" w:rsidR="00F70D17" w:rsidRPr="006C7C2F" w:rsidRDefault="000003FE" w:rsidP="000003FE">
      <w:pPr>
        <w:pStyle w:val="bceasln"/>
        <w:tabs>
          <w:tab w:val="left" w:pos="360"/>
        </w:tabs>
        <w:ind w:left="711" w:hanging="711"/>
        <w:rPr>
          <w:sz w:val="24"/>
          <w:szCs w:val="24"/>
        </w:rPr>
      </w:pPr>
      <w:r w:rsidRPr="000003FE">
        <w:rPr>
          <w:sz w:val="24"/>
          <w:szCs w:val="24"/>
        </w:rPr>
        <w:t>5</w:t>
      </w:r>
      <w:r w:rsidR="00F70D17" w:rsidRPr="006C7C2F">
        <w:rPr>
          <w:sz w:val="24"/>
          <w:szCs w:val="24"/>
        </w:rPr>
        <w:t xml:space="preserve">. </w:t>
      </w:r>
      <w:r w:rsidR="00F70D17" w:rsidRPr="006C7C2F">
        <w:rPr>
          <w:sz w:val="24"/>
          <w:szCs w:val="24"/>
        </w:rPr>
        <w:t> </w:t>
      </w:r>
      <w:r w:rsidR="00F70D17" w:rsidRPr="00E56ECB">
        <w:rPr>
          <w:b/>
          <w:bCs/>
          <w:sz w:val="24"/>
          <w:szCs w:val="24"/>
        </w:rPr>
        <w:t>F</w:t>
      </w:r>
      <w:r w:rsidR="00F70D17" w:rsidRPr="006C7C2F">
        <w:rPr>
          <w:sz w:val="24"/>
          <w:szCs w:val="24"/>
        </w:rPr>
        <w:tab/>
      </w:r>
      <w:r w:rsidRPr="000003FE">
        <w:rPr>
          <w:sz w:val="24"/>
          <w:szCs w:val="24"/>
        </w:rPr>
        <w:t>A private Canadian company that is a subsidiary of a U.K. parent company may not report in British pound sterling unless the pound also is its functional currency.</w:t>
      </w:r>
      <w:r>
        <w:rPr>
          <w:sz w:val="24"/>
          <w:szCs w:val="24"/>
        </w:rPr>
        <w:t xml:space="preserve"> As far as terminology it depends on if the company is using ASPE or IFRS. </w:t>
      </w:r>
      <w:r w:rsidR="009C63CF" w:rsidRPr="006C7C2F">
        <w:rPr>
          <w:sz w:val="24"/>
          <w:szCs w:val="24"/>
        </w:rPr>
        <w:t>The presentation currency does not need to be the same as the functional currency; the subsidiary can report in British pound sterling to be compatible with the parent’s presentation currency.</w:t>
      </w:r>
    </w:p>
    <w:p w14:paraId="652789C0" w14:textId="77777777" w:rsidR="004A37FD" w:rsidRPr="006C7C2F" w:rsidRDefault="004A37FD">
      <w:pPr>
        <w:tabs>
          <w:tab w:val="left" w:pos="260"/>
          <w:tab w:val="left" w:pos="2160"/>
        </w:tabs>
        <w:rPr>
          <w:szCs w:val="24"/>
        </w:rPr>
      </w:pPr>
    </w:p>
    <w:p w14:paraId="38DC681D" w14:textId="77777777" w:rsidR="00C258E0" w:rsidRDefault="00C258E0">
      <w:pPr>
        <w:tabs>
          <w:tab w:val="left" w:pos="260"/>
          <w:tab w:val="left" w:pos="2160"/>
        </w:tabs>
      </w:pPr>
    </w:p>
    <w:p w14:paraId="7A92E072" w14:textId="77777777" w:rsidR="004A37FD" w:rsidRDefault="004A37FD">
      <w:pPr>
        <w:tabs>
          <w:tab w:val="left" w:pos="260"/>
          <w:tab w:val="left" w:pos="2160"/>
        </w:tabs>
      </w:pPr>
    </w:p>
    <w:p w14:paraId="6FB9734A" w14:textId="77777777" w:rsidR="00BF3984" w:rsidRDefault="006C7C2F" w:rsidP="008E13A3">
      <w:pPr>
        <w:tabs>
          <w:tab w:val="left" w:pos="440"/>
          <w:tab w:val="left" w:pos="4680"/>
        </w:tabs>
        <w:rPr>
          <w:b/>
        </w:rPr>
      </w:pPr>
      <w:r>
        <w:rPr>
          <w:b/>
        </w:rPr>
        <w:br w:type="page"/>
      </w:r>
      <w:r w:rsidR="00C258E0">
        <w:rPr>
          <w:b/>
        </w:rPr>
        <w:lastRenderedPageBreak/>
        <w:t>T</w:t>
      </w:r>
      <w:r w:rsidR="00B46AB4">
        <w:rPr>
          <w:b/>
        </w:rPr>
        <w:t>R</w:t>
      </w:r>
      <w:r w:rsidR="000003FE">
        <w:rPr>
          <w:b/>
        </w:rPr>
        <w:t xml:space="preserve"> 1-9</w:t>
      </w:r>
      <w:r w:rsidR="008B1727">
        <w:rPr>
          <w:b/>
        </w:rPr>
        <w:t xml:space="preserve"> </w:t>
      </w:r>
      <w:r w:rsidR="008B1727">
        <w:rPr>
          <w:szCs w:val="24"/>
        </w:rPr>
        <w:t>(</w:t>
      </w:r>
      <w:r w:rsidR="008B1727">
        <w:t>LO1.2, LO1.3, LO1.4)</w:t>
      </w:r>
    </w:p>
    <w:p w14:paraId="3888E415" w14:textId="77777777" w:rsidR="000003FE" w:rsidRDefault="000003FE" w:rsidP="008E13A3">
      <w:pPr>
        <w:tabs>
          <w:tab w:val="left" w:pos="440"/>
          <w:tab w:val="left" w:pos="4680"/>
        </w:tabs>
        <w:rPr>
          <w:b/>
        </w:rPr>
      </w:pPr>
    </w:p>
    <w:p w14:paraId="76A2B964" w14:textId="77777777" w:rsidR="000003FE" w:rsidRDefault="000003FE" w:rsidP="000003FE">
      <w:pPr>
        <w:tabs>
          <w:tab w:val="left" w:pos="440"/>
          <w:tab w:val="left" w:pos="4680"/>
        </w:tabs>
      </w:pPr>
      <w:r>
        <w:t xml:space="preserve">1.  </w:t>
      </w:r>
      <w:r w:rsidRPr="000003FE">
        <w:rPr>
          <w:b/>
        </w:rPr>
        <w:t xml:space="preserve">C </w:t>
      </w:r>
      <w:r>
        <w:t>- Bank –cash flow prediction to determine if their loan can be repaid.</w:t>
      </w:r>
    </w:p>
    <w:p w14:paraId="5BAF2145" w14:textId="77777777" w:rsidR="000003FE" w:rsidRDefault="000003FE" w:rsidP="000003FE">
      <w:pPr>
        <w:tabs>
          <w:tab w:val="left" w:pos="440"/>
          <w:tab w:val="left" w:pos="4680"/>
        </w:tabs>
        <w:ind w:left="709" w:hanging="709"/>
      </w:pPr>
      <w:r>
        <w:t xml:space="preserve">2.  </w:t>
      </w:r>
      <w:r>
        <w:rPr>
          <w:b/>
        </w:rPr>
        <w:t xml:space="preserve">B - </w:t>
      </w:r>
      <w:r>
        <w:t>Small private company -  income tax deferral since they would want to minimize the amount of income taxes they need to pay</w:t>
      </w:r>
    </w:p>
    <w:p w14:paraId="689C3C4A" w14:textId="77777777" w:rsidR="000003FE" w:rsidRDefault="000003FE" w:rsidP="001579F7">
      <w:pPr>
        <w:tabs>
          <w:tab w:val="left" w:pos="440"/>
          <w:tab w:val="left" w:pos="4680"/>
        </w:tabs>
        <w:ind w:left="709" w:hanging="709"/>
      </w:pPr>
      <w:r>
        <w:t xml:space="preserve">3.  </w:t>
      </w:r>
      <w:r w:rsidR="001579F7" w:rsidRPr="001579F7">
        <w:rPr>
          <w:b/>
        </w:rPr>
        <w:t>A</w:t>
      </w:r>
      <w:r w:rsidR="001579F7" w:rsidRPr="001579F7">
        <w:t xml:space="preserve"> </w:t>
      </w:r>
      <w:r w:rsidR="001579F7">
        <w:t>– Not for profit organization – stewardship since they want to ensure assets are used for the correct purposes.</w:t>
      </w:r>
    </w:p>
    <w:p w14:paraId="4CC1D61F" w14:textId="77777777" w:rsidR="001579F7" w:rsidRDefault="001579F7" w:rsidP="000003FE">
      <w:pPr>
        <w:tabs>
          <w:tab w:val="left" w:pos="440"/>
          <w:tab w:val="left" w:pos="4680"/>
        </w:tabs>
      </w:pPr>
      <w:r>
        <w:t xml:space="preserve">4.  </w:t>
      </w:r>
      <w:r>
        <w:rPr>
          <w:b/>
        </w:rPr>
        <w:t>E</w:t>
      </w:r>
      <w:r>
        <w:t xml:space="preserve"> – Management – performance evaluation to see how will company is performing</w:t>
      </w:r>
    </w:p>
    <w:p w14:paraId="43404B0A" w14:textId="77777777" w:rsidR="001579F7" w:rsidRDefault="001579F7" w:rsidP="001579F7">
      <w:pPr>
        <w:tabs>
          <w:tab w:val="left" w:pos="440"/>
          <w:tab w:val="left" w:pos="4680"/>
        </w:tabs>
        <w:ind w:left="709" w:hanging="709"/>
      </w:pPr>
      <w:r>
        <w:t xml:space="preserve">5. </w:t>
      </w:r>
      <w:r w:rsidRPr="001579F7">
        <w:t xml:space="preserve"> </w:t>
      </w:r>
      <w:r w:rsidRPr="001579F7">
        <w:rPr>
          <w:b/>
        </w:rPr>
        <w:t xml:space="preserve">D </w:t>
      </w:r>
      <w:r>
        <w:t>– Shareholders with agreement – contract compliance to see if agreement is adhered to or not</w:t>
      </w:r>
    </w:p>
    <w:p w14:paraId="148B8811" w14:textId="77777777" w:rsidR="001579F7" w:rsidRDefault="001579F7" w:rsidP="001579F7">
      <w:pPr>
        <w:tabs>
          <w:tab w:val="left" w:pos="440"/>
          <w:tab w:val="left" w:pos="4680"/>
        </w:tabs>
        <w:ind w:left="709" w:hanging="709"/>
      </w:pPr>
    </w:p>
    <w:p w14:paraId="47EFA7F3" w14:textId="1B27C281" w:rsidR="001579F7" w:rsidRDefault="001579F7" w:rsidP="001579F7">
      <w:pPr>
        <w:tabs>
          <w:tab w:val="left" w:pos="440"/>
          <w:tab w:val="left" w:pos="4680"/>
        </w:tabs>
        <w:ind w:left="709" w:hanging="709"/>
        <w:rPr>
          <w:b/>
        </w:rPr>
      </w:pPr>
      <w:r>
        <w:br w:type="page"/>
      </w:r>
      <w:r>
        <w:rPr>
          <w:b/>
        </w:rPr>
        <w:lastRenderedPageBreak/>
        <w:t>TR1-10</w:t>
      </w:r>
      <w:r w:rsidR="008B1727">
        <w:rPr>
          <w:b/>
        </w:rPr>
        <w:t xml:space="preserve"> </w:t>
      </w:r>
      <w:r w:rsidR="008B1727" w:rsidRPr="008B1727">
        <w:rPr>
          <w:szCs w:val="24"/>
        </w:rPr>
        <w:t>(LO1</w:t>
      </w:r>
      <w:r w:rsidR="008B1727">
        <w:t>.</w:t>
      </w:r>
      <w:r w:rsidR="002655C5">
        <w:t>5</w:t>
      </w:r>
      <w:r w:rsidR="008B1727">
        <w:t>)</w:t>
      </w:r>
    </w:p>
    <w:p w14:paraId="500B02D2" w14:textId="77777777" w:rsidR="001579F7" w:rsidRDefault="001579F7" w:rsidP="001579F7">
      <w:pPr>
        <w:tabs>
          <w:tab w:val="left" w:pos="440"/>
          <w:tab w:val="left" w:pos="4680"/>
        </w:tabs>
        <w:ind w:left="709" w:hanging="709"/>
        <w:rPr>
          <w:b/>
        </w:rPr>
      </w:pPr>
    </w:p>
    <w:p w14:paraId="5178218F" w14:textId="77777777" w:rsidR="001579F7" w:rsidRPr="001579F7" w:rsidRDefault="001579F7" w:rsidP="001579F7">
      <w:pPr>
        <w:pStyle w:val="bceactxspace-noruleAssignments"/>
        <w:widowControl/>
        <w:spacing w:before="0" w:after="120" w:line="240" w:lineRule="auto"/>
        <w:rPr>
          <w:rFonts w:ascii="Times New Roman" w:hAnsi="Times New Roman" w:cs="Times New Roman"/>
          <w:color w:val="auto"/>
          <w:sz w:val="24"/>
          <w:szCs w:val="24"/>
          <w:u w:val="single"/>
        </w:rPr>
      </w:pPr>
      <w:r w:rsidRPr="004912EB">
        <w:rPr>
          <w:rFonts w:ascii="Times New Roman" w:hAnsi="Times New Roman" w:cs="Times New Roman"/>
          <w:color w:val="auto"/>
          <w:sz w:val="20"/>
        </w:rPr>
        <w:tab/>
      </w:r>
      <w:r w:rsidRPr="004912EB">
        <w:rPr>
          <w:rFonts w:ascii="Times New Roman" w:hAnsi="Times New Roman" w:cs="Times New Roman"/>
          <w:color w:val="auto"/>
          <w:sz w:val="20"/>
        </w:rPr>
        <w:tab/>
      </w:r>
      <w:r w:rsidRPr="004912EB">
        <w:rPr>
          <w:rFonts w:ascii="Times New Roman" w:hAnsi="Times New Roman" w:cs="Times New Roman"/>
          <w:color w:val="auto"/>
          <w:sz w:val="20"/>
        </w:rPr>
        <w:tab/>
      </w:r>
      <w:r w:rsidRPr="004912EB">
        <w:rPr>
          <w:rFonts w:ascii="Times New Roman" w:hAnsi="Times New Roman" w:cs="Times New Roman"/>
          <w:color w:val="auto"/>
          <w:sz w:val="20"/>
        </w:rPr>
        <w:tab/>
      </w:r>
      <w:r w:rsidRPr="004912EB">
        <w:rPr>
          <w:rFonts w:ascii="Times New Roman" w:hAnsi="Times New Roman" w:cs="Times New Roman"/>
          <w:color w:val="auto"/>
          <w:sz w:val="20"/>
        </w:rPr>
        <w:tab/>
      </w:r>
      <w:r w:rsidRPr="004912EB">
        <w:rPr>
          <w:rFonts w:ascii="Times New Roman" w:hAnsi="Times New Roman" w:cs="Times New Roman"/>
          <w:color w:val="auto"/>
          <w:sz w:val="20"/>
        </w:rPr>
        <w:tab/>
      </w:r>
      <w:r>
        <w:rPr>
          <w:rFonts w:ascii="Times New Roman" w:hAnsi="Times New Roman" w:cs="Times New Roman"/>
          <w:color w:val="auto"/>
          <w:sz w:val="20"/>
        </w:rPr>
        <w:tab/>
      </w:r>
      <w:r w:rsidRPr="001579F7">
        <w:rPr>
          <w:rFonts w:ascii="Times New Roman" w:hAnsi="Times New Roman" w:cs="Times New Roman"/>
          <w:color w:val="auto"/>
          <w:sz w:val="24"/>
          <w:szCs w:val="24"/>
          <w:u w:val="single"/>
        </w:rPr>
        <w:t>IFRS</w:t>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u w:val="single"/>
        </w:rPr>
        <w:t>ASPE</w:t>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u w:val="single"/>
        </w:rPr>
        <w:t>Both</w:t>
      </w:r>
    </w:p>
    <w:p w14:paraId="08AC3AAD" w14:textId="77777777" w:rsidR="001579F7" w:rsidRPr="001579F7" w:rsidRDefault="001579F7" w:rsidP="001579F7">
      <w:pPr>
        <w:pStyle w:val="bceactxspace-noruleAssignments"/>
        <w:widowControl/>
        <w:numPr>
          <w:ilvl w:val="0"/>
          <w:numId w:val="19"/>
        </w:numPr>
        <w:spacing w:before="0" w:after="120" w:line="240" w:lineRule="auto"/>
        <w:rPr>
          <w:rFonts w:ascii="Times New Roman" w:hAnsi="Times New Roman" w:cs="Times New Roman"/>
          <w:color w:val="auto"/>
          <w:sz w:val="24"/>
          <w:szCs w:val="24"/>
        </w:rPr>
      </w:pPr>
      <w:r w:rsidRPr="001579F7">
        <w:rPr>
          <w:rFonts w:ascii="Times New Roman" w:hAnsi="Times New Roman" w:cs="Times New Roman"/>
          <w:color w:val="auto"/>
          <w:sz w:val="24"/>
          <w:szCs w:val="24"/>
        </w:rPr>
        <w:t>Statement Financial Position</w:t>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X</w:t>
      </w:r>
      <w:r w:rsidRPr="001579F7">
        <w:rPr>
          <w:rFonts w:ascii="Times New Roman" w:hAnsi="Times New Roman" w:cs="Times New Roman"/>
          <w:color w:val="auto"/>
          <w:sz w:val="24"/>
          <w:szCs w:val="24"/>
        </w:rPr>
        <w:tab/>
      </w:r>
    </w:p>
    <w:p w14:paraId="5253BC83" w14:textId="77777777" w:rsidR="001579F7" w:rsidRDefault="001579F7" w:rsidP="001579F7">
      <w:pPr>
        <w:pStyle w:val="bceactxspace-noruleAssignments"/>
        <w:widowControl/>
        <w:numPr>
          <w:ilvl w:val="0"/>
          <w:numId w:val="19"/>
        </w:numPr>
        <w:spacing w:before="0" w:after="120" w:line="240" w:lineRule="auto"/>
        <w:rPr>
          <w:rFonts w:ascii="Times New Roman" w:hAnsi="Times New Roman" w:cs="Times New Roman"/>
          <w:color w:val="auto"/>
          <w:sz w:val="24"/>
          <w:szCs w:val="24"/>
        </w:rPr>
      </w:pPr>
      <w:r w:rsidRPr="001579F7">
        <w:rPr>
          <w:rFonts w:ascii="Times New Roman" w:hAnsi="Times New Roman" w:cs="Times New Roman"/>
          <w:color w:val="auto"/>
          <w:sz w:val="24"/>
          <w:szCs w:val="24"/>
        </w:rPr>
        <w:t>Statement of Comprehensive Income</w:t>
      </w:r>
      <w:r w:rsidRPr="001579F7">
        <w:rPr>
          <w:rFonts w:ascii="Times New Roman" w:hAnsi="Times New Roman" w:cs="Times New Roman"/>
          <w:color w:val="auto"/>
          <w:sz w:val="24"/>
          <w:szCs w:val="24"/>
        </w:rPr>
        <w:tab/>
      </w:r>
      <w:r>
        <w:rPr>
          <w:rFonts w:ascii="Times New Roman" w:hAnsi="Times New Roman" w:cs="Times New Roman"/>
          <w:color w:val="auto"/>
          <w:sz w:val="24"/>
          <w:szCs w:val="24"/>
        </w:rPr>
        <w:tab/>
        <w:t>X</w:t>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p>
    <w:p w14:paraId="7173DA3C" w14:textId="77777777" w:rsidR="001579F7" w:rsidRPr="001579F7" w:rsidRDefault="001579F7" w:rsidP="001579F7">
      <w:pPr>
        <w:pStyle w:val="bceactxspace-noruleAssignments"/>
        <w:widowControl/>
        <w:numPr>
          <w:ilvl w:val="0"/>
          <w:numId w:val="19"/>
        </w:numPr>
        <w:spacing w:before="0" w:after="120" w:line="240" w:lineRule="auto"/>
        <w:rPr>
          <w:rFonts w:ascii="Times New Roman" w:hAnsi="Times New Roman" w:cs="Times New Roman"/>
          <w:color w:val="auto"/>
          <w:sz w:val="24"/>
          <w:szCs w:val="24"/>
        </w:rPr>
      </w:pPr>
      <w:r w:rsidRPr="001579F7">
        <w:rPr>
          <w:rFonts w:ascii="Times New Roman" w:hAnsi="Times New Roman" w:cs="Times New Roman"/>
          <w:color w:val="auto"/>
          <w:sz w:val="24"/>
          <w:szCs w:val="24"/>
        </w:rPr>
        <w:t>Income Statement</w:t>
      </w:r>
      <w:r w:rsidRPr="001579F7">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X</w:t>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p>
    <w:p w14:paraId="0488182D" w14:textId="77777777" w:rsidR="001579F7" w:rsidRPr="001579F7" w:rsidRDefault="001579F7" w:rsidP="001579F7">
      <w:pPr>
        <w:pStyle w:val="bceactxspace-noruleAssignments"/>
        <w:widowControl/>
        <w:numPr>
          <w:ilvl w:val="0"/>
          <w:numId w:val="19"/>
        </w:numPr>
        <w:spacing w:before="0" w:after="120" w:line="240" w:lineRule="auto"/>
        <w:rPr>
          <w:rFonts w:ascii="Times New Roman" w:hAnsi="Times New Roman" w:cs="Times New Roman"/>
          <w:color w:val="auto"/>
          <w:sz w:val="24"/>
          <w:szCs w:val="24"/>
        </w:rPr>
      </w:pPr>
      <w:r w:rsidRPr="001579F7">
        <w:rPr>
          <w:rFonts w:ascii="Times New Roman" w:hAnsi="Times New Roman" w:cs="Times New Roman"/>
          <w:color w:val="auto"/>
          <w:sz w:val="24"/>
          <w:szCs w:val="24"/>
        </w:rPr>
        <w:t>Statement of Retained Earnings</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X</w:t>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p>
    <w:p w14:paraId="74142ADF" w14:textId="77777777" w:rsidR="001579F7" w:rsidRPr="001579F7" w:rsidRDefault="001579F7" w:rsidP="001579F7">
      <w:pPr>
        <w:pStyle w:val="bceactxspace-noruleAssignments"/>
        <w:widowControl/>
        <w:numPr>
          <w:ilvl w:val="0"/>
          <w:numId w:val="19"/>
        </w:numPr>
        <w:spacing w:before="0" w:after="120" w:line="240" w:lineRule="auto"/>
        <w:rPr>
          <w:rFonts w:ascii="Times New Roman" w:hAnsi="Times New Roman" w:cs="Times New Roman"/>
          <w:color w:val="auto"/>
          <w:sz w:val="24"/>
          <w:szCs w:val="24"/>
        </w:rPr>
      </w:pPr>
      <w:r w:rsidRPr="001579F7">
        <w:rPr>
          <w:rFonts w:ascii="Times New Roman" w:hAnsi="Times New Roman" w:cs="Times New Roman"/>
          <w:color w:val="auto"/>
          <w:sz w:val="24"/>
          <w:szCs w:val="24"/>
        </w:rPr>
        <w:t>Cash Flow Statement</w:t>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X</w:t>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u w:val="single"/>
        </w:rPr>
        <w:t xml:space="preserve"> </w:t>
      </w:r>
    </w:p>
    <w:p w14:paraId="44BD9383" w14:textId="77777777" w:rsidR="001579F7" w:rsidRPr="001579F7" w:rsidRDefault="001579F7" w:rsidP="001579F7">
      <w:pPr>
        <w:pStyle w:val="bceactxspace-noruleAssignments"/>
        <w:widowControl/>
        <w:numPr>
          <w:ilvl w:val="0"/>
          <w:numId w:val="19"/>
        </w:numPr>
        <w:spacing w:before="0" w:after="120" w:line="240" w:lineRule="auto"/>
        <w:rPr>
          <w:rFonts w:ascii="Times New Roman" w:hAnsi="Times New Roman" w:cs="Times New Roman"/>
          <w:color w:val="auto"/>
          <w:sz w:val="24"/>
          <w:szCs w:val="24"/>
        </w:rPr>
      </w:pPr>
      <w:r w:rsidRPr="001579F7">
        <w:rPr>
          <w:rFonts w:ascii="Times New Roman" w:hAnsi="Times New Roman" w:cs="Times New Roman"/>
          <w:color w:val="auto"/>
          <w:sz w:val="24"/>
          <w:szCs w:val="24"/>
        </w:rPr>
        <w:t xml:space="preserve">Statement of Changes in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X</w:t>
      </w:r>
    </w:p>
    <w:p w14:paraId="37D0F503" w14:textId="77777777" w:rsidR="001579F7" w:rsidRPr="001579F7" w:rsidRDefault="001579F7" w:rsidP="001579F7">
      <w:pPr>
        <w:pStyle w:val="bceactxspace-noruleAssignments"/>
        <w:widowControl/>
        <w:spacing w:before="0" w:after="120" w:line="240" w:lineRule="auto"/>
        <w:ind w:left="564"/>
        <w:rPr>
          <w:rFonts w:ascii="Times New Roman" w:hAnsi="Times New Roman" w:cs="Times New Roman"/>
          <w:color w:val="auto"/>
          <w:sz w:val="24"/>
          <w:szCs w:val="24"/>
        </w:rPr>
      </w:pPr>
      <w:r w:rsidRPr="001579F7">
        <w:rPr>
          <w:rFonts w:ascii="Times New Roman" w:hAnsi="Times New Roman" w:cs="Times New Roman"/>
          <w:color w:val="auto"/>
          <w:sz w:val="24"/>
          <w:szCs w:val="24"/>
        </w:rPr>
        <w:t>Shareholders</w:t>
      </w:r>
      <w:r w:rsidR="00B46AB4">
        <w:rPr>
          <w:rFonts w:ascii="Times New Roman" w:hAnsi="Times New Roman" w:cs="Times New Roman"/>
          <w:color w:val="auto"/>
          <w:sz w:val="24"/>
          <w:szCs w:val="24"/>
        </w:rPr>
        <w:t>’</w:t>
      </w:r>
      <w:r w:rsidRPr="001579F7">
        <w:rPr>
          <w:rFonts w:ascii="Times New Roman" w:hAnsi="Times New Roman" w:cs="Times New Roman"/>
          <w:color w:val="auto"/>
          <w:sz w:val="24"/>
          <w:szCs w:val="24"/>
        </w:rPr>
        <w:t xml:space="preserve"> Equity</w:t>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r w:rsidRPr="001579F7">
        <w:rPr>
          <w:rFonts w:ascii="Times New Roman" w:hAnsi="Times New Roman" w:cs="Times New Roman"/>
          <w:color w:val="auto"/>
          <w:sz w:val="24"/>
          <w:szCs w:val="24"/>
        </w:rPr>
        <w:tab/>
      </w:r>
    </w:p>
    <w:p w14:paraId="6654478F" w14:textId="77777777" w:rsidR="001579F7" w:rsidRPr="001579F7" w:rsidRDefault="001579F7" w:rsidP="001579F7">
      <w:pPr>
        <w:pStyle w:val="bceactxspace-noruleAssignments"/>
        <w:widowControl/>
        <w:spacing w:before="0" w:after="120" w:line="240" w:lineRule="auto"/>
        <w:rPr>
          <w:rFonts w:ascii="Times New Roman" w:hAnsi="Times New Roman" w:cs="Times New Roman"/>
          <w:color w:val="auto"/>
          <w:sz w:val="24"/>
          <w:szCs w:val="24"/>
        </w:rPr>
      </w:pPr>
    </w:p>
    <w:p w14:paraId="4A4A2020" w14:textId="77777777" w:rsidR="001579F7" w:rsidRPr="001579F7" w:rsidRDefault="001579F7" w:rsidP="000003FE">
      <w:pPr>
        <w:tabs>
          <w:tab w:val="left" w:pos="440"/>
          <w:tab w:val="left" w:pos="4680"/>
        </w:tabs>
      </w:pPr>
    </w:p>
    <w:p w14:paraId="18BF4A0A" w14:textId="77777777" w:rsidR="00BF3984" w:rsidRDefault="00BF3984" w:rsidP="008E13A3">
      <w:pPr>
        <w:tabs>
          <w:tab w:val="left" w:pos="440"/>
          <w:tab w:val="left" w:pos="4680"/>
        </w:tabs>
      </w:pPr>
    </w:p>
    <w:p w14:paraId="7D881003" w14:textId="77777777" w:rsidR="00617990" w:rsidRDefault="00617990" w:rsidP="00B1349D">
      <w:pPr>
        <w:tabs>
          <w:tab w:val="left" w:pos="440"/>
          <w:tab w:val="left" w:pos="900"/>
          <w:tab w:val="left" w:pos="4680"/>
        </w:tabs>
      </w:pPr>
      <w:r>
        <w:tab/>
      </w:r>
      <w:r>
        <w:tab/>
      </w:r>
    </w:p>
    <w:p w14:paraId="67DB2DA3" w14:textId="77777777" w:rsidR="00BF3984" w:rsidRDefault="00BF3984" w:rsidP="004F7176">
      <w:pPr>
        <w:tabs>
          <w:tab w:val="left" w:pos="440"/>
          <w:tab w:val="left" w:pos="720"/>
          <w:tab w:val="left" w:pos="4680"/>
        </w:tabs>
      </w:pPr>
    </w:p>
    <w:p w14:paraId="5E72AB71" w14:textId="77777777" w:rsidR="00C258E0" w:rsidRPr="00A83BAC" w:rsidRDefault="00624B73" w:rsidP="00C258E0">
      <w:r>
        <w:br w:type="page"/>
      </w:r>
      <w:r w:rsidR="00C258E0">
        <w:rPr>
          <w:b/>
        </w:rPr>
        <w:lastRenderedPageBreak/>
        <w:t>Assignment</w:t>
      </w:r>
      <w:r w:rsidR="00C258E0">
        <w:t xml:space="preserve"> </w:t>
      </w:r>
      <w:r w:rsidR="00C258E0">
        <w:rPr>
          <w:b/>
        </w:rPr>
        <w:t>1-1</w:t>
      </w:r>
      <w:r w:rsidR="00A83BAC">
        <w:rPr>
          <w:b/>
        </w:rPr>
        <w:t xml:space="preserve"> </w:t>
      </w:r>
      <w:r w:rsidR="00A83BAC">
        <w:t>(LO1.1)</w:t>
      </w:r>
    </w:p>
    <w:p w14:paraId="7027F719" w14:textId="77777777" w:rsidR="00C258E0" w:rsidRDefault="00C258E0" w:rsidP="00C258E0">
      <w:pPr>
        <w:ind w:left="440" w:hanging="440"/>
        <w:rPr>
          <w:b/>
        </w:rPr>
      </w:pPr>
    </w:p>
    <w:p w14:paraId="483F6D3F" w14:textId="77777777" w:rsidR="00C258E0" w:rsidRDefault="00C258E0" w:rsidP="00C258E0">
      <w:pPr>
        <w:tabs>
          <w:tab w:val="left" w:pos="440"/>
          <w:tab w:val="left" w:pos="720"/>
          <w:tab w:val="left" w:pos="4680"/>
        </w:tabs>
      </w:pPr>
      <w:r>
        <w:t xml:space="preserve">The IASB website indicates six stages of </w:t>
      </w:r>
      <w:smartTag w:uri="urn:schemas-microsoft-com:office:smarttags" w:element="stockticker">
        <w:r>
          <w:t>IFRS</w:t>
        </w:r>
      </w:smartTag>
      <w:r>
        <w:t xml:space="preserve"> development:</w:t>
      </w:r>
    </w:p>
    <w:p w14:paraId="444EEAC5" w14:textId="77777777" w:rsidR="00C258E0" w:rsidRDefault="00C258E0" w:rsidP="00C258E0">
      <w:pPr>
        <w:tabs>
          <w:tab w:val="left" w:pos="440"/>
          <w:tab w:val="left" w:pos="720"/>
          <w:tab w:val="left" w:pos="4680"/>
        </w:tabs>
      </w:pPr>
    </w:p>
    <w:p w14:paraId="22915C16" w14:textId="77777777" w:rsidR="00C258E0" w:rsidRDefault="008E5759" w:rsidP="00C258E0">
      <w:pPr>
        <w:numPr>
          <w:ilvl w:val="0"/>
          <w:numId w:val="12"/>
        </w:numPr>
        <w:tabs>
          <w:tab w:val="left" w:pos="440"/>
          <w:tab w:val="left" w:pos="4680"/>
        </w:tabs>
      </w:pPr>
      <w:r>
        <w:t>Agenda consultation</w:t>
      </w:r>
    </w:p>
    <w:p w14:paraId="3D868DA3" w14:textId="77777777" w:rsidR="00C258E0" w:rsidRDefault="008E5759" w:rsidP="00C258E0">
      <w:pPr>
        <w:numPr>
          <w:ilvl w:val="0"/>
          <w:numId w:val="12"/>
        </w:numPr>
        <w:tabs>
          <w:tab w:val="left" w:pos="440"/>
          <w:tab w:val="left" w:pos="4680"/>
        </w:tabs>
      </w:pPr>
      <w:r>
        <w:t>Research programme</w:t>
      </w:r>
    </w:p>
    <w:p w14:paraId="6DF4714A" w14:textId="77777777" w:rsidR="008E5759" w:rsidRDefault="008E5759" w:rsidP="00C258E0">
      <w:pPr>
        <w:numPr>
          <w:ilvl w:val="0"/>
          <w:numId w:val="12"/>
        </w:numPr>
        <w:tabs>
          <w:tab w:val="left" w:pos="440"/>
          <w:tab w:val="left" w:pos="4680"/>
        </w:tabs>
      </w:pPr>
      <w:r>
        <w:t>Standard-setting programme</w:t>
      </w:r>
    </w:p>
    <w:p w14:paraId="55AB243C" w14:textId="77777777" w:rsidR="008E5759" w:rsidRDefault="008E5759" w:rsidP="00C258E0">
      <w:pPr>
        <w:numPr>
          <w:ilvl w:val="0"/>
          <w:numId w:val="12"/>
        </w:numPr>
        <w:tabs>
          <w:tab w:val="left" w:pos="440"/>
          <w:tab w:val="left" w:pos="4680"/>
        </w:tabs>
      </w:pPr>
      <w:r>
        <w:t>Maintenance programme</w:t>
      </w:r>
    </w:p>
    <w:p w14:paraId="2199F17C" w14:textId="77777777" w:rsidR="00C258E0" w:rsidRDefault="00C258E0" w:rsidP="00C258E0">
      <w:pPr>
        <w:tabs>
          <w:tab w:val="left" w:pos="440"/>
          <w:tab w:val="left" w:pos="720"/>
          <w:tab w:val="left" w:pos="4680"/>
        </w:tabs>
      </w:pPr>
    </w:p>
    <w:p w14:paraId="29D1D3CD" w14:textId="77777777" w:rsidR="00C258E0" w:rsidRDefault="00C258E0" w:rsidP="00C258E0">
      <w:pPr>
        <w:tabs>
          <w:tab w:val="left" w:pos="440"/>
          <w:tab w:val="left" w:pos="720"/>
          <w:tab w:val="left" w:pos="4680"/>
        </w:tabs>
      </w:pPr>
      <w:r>
        <w:t>The last stage can properly be viewed by students as not being a part of developing the standard</w:t>
      </w:r>
      <w:r w:rsidR="00DE4007">
        <w:t>, therefore the standard setting process i</w:t>
      </w:r>
      <w:r w:rsidR="00284FC0">
        <w:t>nvolves</w:t>
      </w:r>
      <w:r w:rsidR="00DE4007">
        <w:t xml:space="preserve"> three steps. </w:t>
      </w:r>
    </w:p>
    <w:p w14:paraId="71B72A53" w14:textId="77777777" w:rsidR="00C258E0" w:rsidRDefault="00C258E0" w:rsidP="00C258E0">
      <w:pPr>
        <w:tabs>
          <w:tab w:val="left" w:pos="440"/>
          <w:tab w:val="left" w:pos="720"/>
          <w:tab w:val="left" w:pos="4680"/>
        </w:tabs>
      </w:pPr>
    </w:p>
    <w:p w14:paraId="1ADF9D9A" w14:textId="77777777" w:rsidR="00DE4007" w:rsidRDefault="00DE4007" w:rsidP="00C258E0">
      <w:pPr>
        <w:tabs>
          <w:tab w:val="left" w:pos="440"/>
          <w:tab w:val="left" w:pos="720"/>
          <w:tab w:val="left" w:pos="4680"/>
        </w:tabs>
      </w:pPr>
      <w:r>
        <w:t>The below is taken directly from the IASB website:</w:t>
      </w:r>
    </w:p>
    <w:p w14:paraId="0FADE2B5" w14:textId="77777777" w:rsidR="00284FC0" w:rsidRDefault="00284FC0" w:rsidP="00C258E0">
      <w:pPr>
        <w:tabs>
          <w:tab w:val="left" w:pos="440"/>
          <w:tab w:val="left" w:pos="720"/>
          <w:tab w:val="left" w:pos="4680"/>
        </w:tabs>
      </w:pPr>
      <w:r w:rsidRPr="00284FC0">
        <w:t>https://www.ifrs.org/about-us/how-we-set-ifrs-standards/</w:t>
      </w:r>
    </w:p>
    <w:p w14:paraId="1CDEF15A" w14:textId="77777777" w:rsidR="00DE4007" w:rsidRDefault="00DE4007" w:rsidP="001444D7">
      <w:pPr>
        <w:tabs>
          <w:tab w:val="left" w:pos="440"/>
          <w:tab w:val="left" w:pos="720"/>
          <w:tab w:val="left" w:pos="4680"/>
        </w:tabs>
      </w:pPr>
      <w:r>
        <w:t xml:space="preserve"> </w:t>
      </w:r>
    </w:p>
    <w:p w14:paraId="2FDDDAFE" w14:textId="77777777" w:rsidR="00DE4007" w:rsidRDefault="00DE4007" w:rsidP="00C258E0">
      <w:pPr>
        <w:tabs>
          <w:tab w:val="left" w:pos="440"/>
          <w:tab w:val="left" w:pos="720"/>
          <w:tab w:val="left" w:pos="4680"/>
        </w:tabs>
      </w:pPr>
    </w:p>
    <w:p w14:paraId="6D271F2F" w14:textId="77777777" w:rsidR="00DE4007" w:rsidRDefault="00DE4007" w:rsidP="00DE4007">
      <w:pPr>
        <w:tabs>
          <w:tab w:val="left" w:pos="440"/>
          <w:tab w:val="left" w:pos="720"/>
          <w:tab w:val="left" w:pos="4680"/>
        </w:tabs>
      </w:pPr>
      <w:r w:rsidRPr="007248E4">
        <w:rPr>
          <w:b/>
          <w:i/>
          <w:u w:val="single"/>
        </w:rPr>
        <w:t>Agenda Consultation</w:t>
      </w:r>
      <w:r>
        <w:t xml:space="preserve"> </w:t>
      </w:r>
    </w:p>
    <w:p w14:paraId="10E430E8" w14:textId="77777777" w:rsidR="00DE4007" w:rsidRDefault="00DE4007" w:rsidP="00DE4007">
      <w:pPr>
        <w:tabs>
          <w:tab w:val="left" w:pos="440"/>
          <w:tab w:val="left" w:pos="720"/>
          <w:tab w:val="left" w:pos="4680"/>
        </w:tabs>
      </w:pPr>
    </w:p>
    <w:p w14:paraId="1D34FE3D" w14:textId="77777777" w:rsidR="00DE4007" w:rsidRPr="007248E4" w:rsidRDefault="00DE4007" w:rsidP="00DE4007">
      <w:pPr>
        <w:tabs>
          <w:tab w:val="left" w:pos="440"/>
          <w:tab w:val="left" w:pos="720"/>
          <w:tab w:val="left" w:pos="4680"/>
        </w:tabs>
      </w:pPr>
      <w:r w:rsidRPr="007248E4">
        <w:t>Every five years, the Board conducts a comprehensive review and consultation to define international standard-setting priorities and develop its project work plan.</w:t>
      </w:r>
    </w:p>
    <w:p w14:paraId="150A285B" w14:textId="77777777" w:rsidR="00DE4007" w:rsidRPr="007248E4" w:rsidRDefault="00DE4007" w:rsidP="00DE4007">
      <w:pPr>
        <w:tabs>
          <w:tab w:val="left" w:pos="440"/>
          <w:tab w:val="left" w:pos="720"/>
          <w:tab w:val="left" w:pos="4680"/>
        </w:tabs>
      </w:pPr>
    </w:p>
    <w:p w14:paraId="41BAD565" w14:textId="77777777" w:rsidR="00DE4007" w:rsidRPr="00DF5D7F" w:rsidRDefault="00DE4007" w:rsidP="00DE4007">
      <w:pPr>
        <w:tabs>
          <w:tab w:val="left" w:pos="440"/>
          <w:tab w:val="left" w:pos="720"/>
          <w:tab w:val="left" w:pos="4680"/>
        </w:tabs>
        <w:spacing w:after="120"/>
      </w:pPr>
      <w:r w:rsidRPr="007248E4">
        <w:t>The Board can also add topics to its work plan if necessary between agenda consultations. This can include topics following Post-implementation Reviews of Standards; the IFRS Interpretations Committee may also request the Board review an issue</w:t>
      </w:r>
      <w:r w:rsidRPr="00DE4007">
        <w:rPr>
          <w:i/>
        </w:rPr>
        <w:t>.</w:t>
      </w:r>
    </w:p>
    <w:p w14:paraId="37994F38" w14:textId="77777777" w:rsidR="00DE4007" w:rsidRPr="007248E4" w:rsidRDefault="00DE4007" w:rsidP="00DE4007">
      <w:pPr>
        <w:tabs>
          <w:tab w:val="left" w:pos="440"/>
          <w:tab w:val="left" w:pos="720"/>
          <w:tab w:val="left" w:pos="4680"/>
        </w:tabs>
        <w:spacing w:after="120"/>
        <w:rPr>
          <w:b/>
          <w:i/>
          <w:u w:val="single"/>
        </w:rPr>
      </w:pPr>
      <w:r w:rsidRPr="007248E4">
        <w:rPr>
          <w:b/>
          <w:i/>
          <w:u w:val="single"/>
        </w:rPr>
        <w:t>Research programme</w:t>
      </w:r>
    </w:p>
    <w:p w14:paraId="0F80F4C8" w14:textId="77777777" w:rsidR="00DE4007" w:rsidRDefault="00DE4007" w:rsidP="00DE4007">
      <w:pPr>
        <w:tabs>
          <w:tab w:val="left" w:pos="440"/>
          <w:tab w:val="left" w:pos="720"/>
          <w:tab w:val="left" w:pos="4680"/>
        </w:tabs>
        <w:spacing w:after="120"/>
      </w:pPr>
      <w:r>
        <w:t>We begin most projects with research—explore the issues, identify possible solutions and decide whether standard-setting is required. Often, we set out our ideas in a discussion paper and seek public comment.</w:t>
      </w:r>
    </w:p>
    <w:p w14:paraId="613B6389" w14:textId="77777777" w:rsidR="00DE4007" w:rsidRDefault="00DE4007" w:rsidP="00DE4007">
      <w:pPr>
        <w:tabs>
          <w:tab w:val="left" w:pos="440"/>
          <w:tab w:val="left" w:pos="720"/>
          <w:tab w:val="left" w:pos="4680"/>
        </w:tabs>
        <w:spacing w:after="120"/>
      </w:pPr>
      <w:r>
        <w:t>If we find sufficient evidence that an accounting problem exists, the problem is sufficiently important to warrant changing a Standard or issuing a new one and a practical solution can be found, we begin standard-setting.</w:t>
      </w:r>
    </w:p>
    <w:p w14:paraId="3E667887" w14:textId="77777777" w:rsidR="00DE4007" w:rsidRPr="007248E4" w:rsidRDefault="00DE4007" w:rsidP="00DE4007">
      <w:pPr>
        <w:tabs>
          <w:tab w:val="left" w:pos="440"/>
          <w:tab w:val="left" w:pos="720"/>
          <w:tab w:val="left" w:pos="4680"/>
        </w:tabs>
        <w:spacing w:after="120"/>
        <w:rPr>
          <w:b/>
          <w:i/>
          <w:u w:val="single"/>
        </w:rPr>
      </w:pPr>
      <w:r w:rsidRPr="007248E4">
        <w:rPr>
          <w:b/>
          <w:i/>
          <w:u w:val="single"/>
        </w:rPr>
        <w:t>Standard-setting programme</w:t>
      </w:r>
    </w:p>
    <w:p w14:paraId="7C2AB33F" w14:textId="77777777" w:rsidR="00DE4007" w:rsidRDefault="00DE4007" w:rsidP="00DE4007">
      <w:pPr>
        <w:tabs>
          <w:tab w:val="left" w:pos="440"/>
          <w:tab w:val="left" w:pos="720"/>
          <w:tab w:val="left" w:pos="4680"/>
        </w:tabs>
        <w:spacing w:after="120"/>
      </w:pPr>
      <w:r>
        <w:t>If the Board decides to amend a Standard or issue a new one, we generally review the research, including comments on the discussion paper, and propose amendments or Standards to resolve issues identified through research and consultation.</w:t>
      </w:r>
    </w:p>
    <w:p w14:paraId="0D2B80C9" w14:textId="77777777" w:rsidR="00DE4007" w:rsidRDefault="00DE4007" w:rsidP="00DE4007">
      <w:pPr>
        <w:tabs>
          <w:tab w:val="left" w:pos="440"/>
          <w:tab w:val="left" w:pos="720"/>
          <w:tab w:val="left" w:pos="4680"/>
        </w:tabs>
        <w:spacing w:after="120"/>
      </w:pPr>
      <w:r>
        <w:t>Proposals for a new Standard or an amendment to a Standard are published in an exposure draft for public consultation. To gather additional evidence, members of the Board and IFRS Foundation technical staff consult with a range of stakeholders from all over the world.</w:t>
      </w:r>
    </w:p>
    <w:p w14:paraId="58F84D19" w14:textId="77777777" w:rsidR="00DE4007" w:rsidRDefault="00DE4007" w:rsidP="00DE4007">
      <w:pPr>
        <w:tabs>
          <w:tab w:val="left" w:pos="440"/>
          <w:tab w:val="left" w:pos="720"/>
          <w:tab w:val="left" w:pos="4680"/>
        </w:tabs>
        <w:spacing w:after="120"/>
      </w:pPr>
      <w:r>
        <w:t>The Board analyses feedback and refines proposals before the new Standard, or an amendment to a Standard, is issued.</w:t>
      </w:r>
    </w:p>
    <w:p w14:paraId="48B2AD1F" w14:textId="77777777" w:rsidR="00DE4007" w:rsidRPr="007248E4" w:rsidRDefault="00DE4007" w:rsidP="00DE4007">
      <w:pPr>
        <w:tabs>
          <w:tab w:val="left" w:pos="440"/>
          <w:tab w:val="left" w:pos="720"/>
          <w:tab w:val="left" w:pos="4680"/>
        </w:tabs>
        <w:spacing w:after="120"/>
        <w:rPr>
          <w:b/>
          <w:i/>
          <w:u w:val="single"/>
        </w:rPr>
      </w:pPr>
      <w:r w:rsidRPr="007248E4">
        <w:rPr>
          <w:b/>
          <w:i/>
          <w:u w:val="single"/>
        </w:rPr>
        <w:t>Maintenance programme</w:t>
      </w:r>
    </w:p>
    <w:p w14:paraId="09A84D77" w14:textId="77777777" w:rsidR="00DE4007" w:rsidRDefault="00DE4007" w:rsidP="00DE4007">
      <w:pPr>
        <w:tabs>
          <w:tab w:val="left" w:pos="440"/>
          <w:tab w:val="left" w:pos="720"/>
          <w:tab w:val="left" w:pos="4680"/>
        </w:tabs>
        <w:spacing w:after="120"/>
      </w:pPr>
      <w:r>
        <w:lastRenderedPageBreak/>
        <w:t xml:space="preserve">Our work doesn’t stop once a Standard is issued. We also support </w:t>
      </w:r>
      <w:r w:rsidR="00284FC0">
        <w:t xml:space="preserve">consistent application </w:t>
      </w:r>
      <w:r>
        <w:t>of the Standards and we make sure we maintain them.</w:t>
      </w:r>
    </w:p>
    <w:p w14:paraId="18B0817C" w14:textId="77777777" w:rsidR="00DE4007" w:rsidRDefault="00DE4007" w:rsidP="00DE4007">
      <w:pPr>
        <w:tabs>
          <w:tab w:val="left" w:pos="440"/>
          <w:tab w:val="left" w:pos="720"/>
          <w:tab w:val="left" w:pos="4680"/>
        </w:tabs>
        <w:spacing w:after="120"/>
      </w:pPr>
      <w:r>
        <w:t>This process includes consulting on the implementation of a new or amended Standard to identify any implementation problems that may need to be addressed. If issues arise, the IFRS Interpretations Committee may decide to create an IFRIC Interpretation of the Standard or recommend a narrow-scope amendment. Such amendments follow the Board's normal due process.</w:t>
      </w:r>
      <w:r w:rsidR="00284FC0">
        <w:t>”</w:t>
      </w:r>
    </w:p>
    <w:p w14:paraId="46642ED0" w14:textId="77777777" w:rsidR="00C258E0" w:rsidRPr="00A83BAC" w:rsidRDefault="00C85EDC" w:rsidP="00C258E0">
      <w:pPr>
        <w:tabs>
          <w:tab w:val="left" w:pos="260"/>
          <w:tab w:val="left" w:pos="2160"/>
        </w:tabs>
      </w:pPr>
      <w:r>
        <w:br w:type="page"/>
      </w:r>
      <w:r w:rsidR="00A96D3E" w:rsidRPr="00660D5B" w:rsidDel="00A96D3E">
        <w:rPr>
          <w:i/>
        </w:rPr>
        <w:lastRenderedPageBreak/>
        <w:t xml:space="preserve"> </w:t>
      </w:r>
      <w:r w:rsidR="00C258E0">
        <w:rPr>
          <w:b/>
        </w:rPr>
        <w:t>As</w:t>
      </w:r>
      <w:r w:rsidR="00B1349D">
        <w:rPr>
          <w:b/>
        </w:rPr>
        <w:t>signment 1-2</w:t>
      </w:r>
      <w:r w:rsidR="00A83BAC">
        <w:rPr>
          <w:b/>
        </w:rPr>
        <w:t xml:space="preserve"> </w:t>
      </w:r>
      <w:r w:rsidR="00A83BAC">
        <w:t>(LO1.1, LO1.3)</w:t>
      </w:r>
    </w:p>
    <w:p w14:paraId="0C64C752" w14:textId="77777777" w:rsidR="00C258E0" w:rsidRDefault="00C258E0" w:rsidP="00C258E0">
      <w:pPr>
        <w:tabs>
          <w:tab w:val="left" w:pos="260"/>
          <w:tab w:val="left" w:pos="2160"/>
        </w:tabs>
      </w:pPr>
    </w:p>
    <w:p w14:paraId="113F3B88" w14:textId="77777777" w:rsidR="00C258E0" w:rsidRDefault="00C258E0" w:rsidP="00C258E0">
      <w:pPr>
        <w:tabs>
          <w:tab w:val="left" w:pos="260"/>
          <w:tab w:val="left" w:pos="1170"/>
          <w:tab w:val="left" w:pos="2160"/>
        </w:tabs>
      </w:pPr>
      <w:r>
        <w:t>Memo to:</w:t>
      </w:r>
      <w:r>
        <w:tab/>
        <w:t>Manager</w:t>
      </w:r>
    </w:p>
    <w:p w14:paraId="41DB805C" w14:textId="77777777" w:rsidR="00C258E0" w:rsidRDefault="00C258E0" w:rsidP="00C258E0">
      <w:pPr>
        <w:tabs>
          <w:tab w:val="left" w:pos="260"/>
          <w:tab w:val="left" w:pos="1170"/>
          <w:tab w:val="left" w:pos="2160"/>
        </w:tabs>
      </w:pPr>
      <w:r>
        <w:t>Subject:</w:t>
      </w:r>
      <w:r>
        <w:tab/>
        <w:t>Viewpoint of conference speaker</w:t>
      </w:r>
    </w:p>
    <w:p w14:paraId="1CD82CDB" w14:textId="77777777" w:rsidR="00C258E0" w:rsidRDefault="00C258E0" w:rsidP="00C258E0">
      <w:pPr>
        <w:tabs>
          <w:tab w:val="left" w:pos="260"/>
          <w:tab w:val="left" w:pos="1170"/>
          <w:tab w:val="left" w:pos="2160"/>
        </w:tabs>
      </w:pPr>
    </w:p>
    <w:p w14:paraId="2C3D8276" w14:textId="77777777" w:rsidR="00C258E0" w:rsidRDefault="00C258E0" w:rsidP="00C258E0">
      <w:pPr>
        <w:tabs>
          <w:tab w:val="left" w:pos="260"/>
          <w:tab w:val="left" w:pos="1170"/>
          <w:tab w:val="left" w:pos="2160"/>
        </w:tabs>
      </w:pPr>
      <w:r>
        <w:t>I attended the conference where I heard Mr. Stea</w:t>
      </w:r>
      <w:r w:rsidR="00B46AB4">
        <w:t>r</w:t>
      </w:r>
      <w:r>
        <w:t xml:space="preserve">ns claimed that the financial statements of all companies can now easily be compared between nations because they all are prepared using </w:t>
      </w:r>
      <w:smartTag w:uri="urn:schemas-microsoft-com:office:smarttags" w:element="stockticker">
        <w:r>
          <w:t>IFRS</w:t>
        </w:r>
      </w:smartTag>
      <w:r>
        <w:t xml:space="preserve">. </w:t>
      </w:r>
    </w:p>
    <w:p w14:paraId="4EC2A57C" w14:textId="77777777" w:rsidR="00C258E0" w:rsidRDefault="00C258E0" w:rsidP="00C258E0">
      <w:pPr>
        <w:tabs>
          <w:tab w:val="left" w:pos="260"/>
          <w:tab w:val="left" w:pos="1170"/>
          <w:tab w:val="left" w:pos="2160"/>
        </w:tabs>
      </w:pPr>
    </w:p>
    <w:p w14:paraId="1C535DDE" w14:textId="77777777" w:rsidR="00C258E0" w:rsidRDefault="00C258E0" w:rsidP="00C258E0">
      <w:pPr>
        <w:tabs>
          <w:tab w:val="left" w:pos="260"/>
          <w:tab w:val="left" w:pos="1170"/>
          <w:tab w:val="left" w:pos="2160"/>
        </w:tabs>
      </w:pPr>
      <w:r>
        <w:t xml:space="preserve">In my view, Mr. Stearns is somewhat naive about the economic realities that underlie financial statements. Financial statements are a product of their reporting environment. The application of </w:t>
      </w:r>
      <w:smartTag w:uri="urn:schemas-microsoft-com:office:smarttags" w:element="stockticker">
        <w:r>
          <w:t>IFRS</w:t>
        </w:r>
      </w:smartTag>
      <w:r>
        <w:t xml:space="preserve"> requires a great many accounting decision</w:t>
      </w:r>
      <w:r w:rsidR="00B46AB4">
        <w:t>s</w:t>
      </w:r>
      <w:r>
        <w:t xml:space="preserve">, especially accounting estimates. Management’s estimates will be affected by their reporting objectives, such as to minimize current income taxes or to maximize earnings in order to support their stock price. Each company’s legal, economic and political environment affects its financial reporting, as do the ways of doing business in a country. While </w:t>
      </w:r>
      <w:smartTag w:uri="urn:schemas-microsoft-com:office:smarttags" w:element="stockticker">
        <w:r>
          <w:t>IFRS</w:t>
        </w:r>
      </w:smartTag>
      <w:r>
        <w:t xml:space="preserve"> gives the appearance of uniformity in financial statement presentation, there is a great deal of variance in the substance underlying the apparent comparability. </w:t>
      </w:r>
    </w:p>
    <w:p w14:paraId="4544BCA1" w14:textId="77777777" w:rsidR="00B32E87" w:rsidRDefault="00B32E87" w:rsidP="00C258E0">
      <w:pPr>
        <w:tabs>
          <w:tab w:val="left" w:pos="260"/>
          <w:tab w:val="left" w:pos="1170"/>
          <w:tab w:val="left" w:pos="2160"/>
        </w:tabs>
      </w:pPr>
    </w:p>
    <w:p w14:paraId="7905420E" w14:textId="77777777" w:rsidR="00B32E87" w:rsidRDefault="00B32E87" w:rsidP="00C258E0">
      <w:pPr>
        <w:tabs>
          <w:tab w:val="left" w:pos="260"/>
          <w:tab w:val="left" w:pos="1170"/>
          <w:tab w:val="left" w:pos="2160"/>
        </w:tabs>
      </w:pPr>
      <w:r>
        <w:t xml:space="preserve">To complicate matters some countries that adopt IFRS do not fully adopt the entire set of standards. They follow country guidance for some of the standards. </w:t>
      </w:r>
    </w:p>
    <w:p w14:paraId="59C3FD8F" w14:textId="77777777" w:rsidR="00C258E0" w:rsidRDefault="00C258E0" w:rsidP="00C258E0">
      <w:pPr>
        <w:tabs>
          <w:tab w:val="left" w:pos="260"/>
          <w:tab w:val="left" w:pos="1170"/>
          <w:tab w:val="left" w:pos="2160"/>
        </w:tabs>
      </w:pPr>
    </w:p>
    <w:p w14:paraId="4EE33522" w14:textId="77777777" w:rsidR="00C258E0" w:rsidRDefault="00C258E0" w:rsidP="00C258E0">
      <w:pPr>
        <w:tabs>
          <w:tab w:val="left" w:pos="260"/>
          <w:tab w:val="left" w:pos="1170"/>
          <w:tab w:val="left" w:pos="2160"/>
        </w:tabs>
      </w:pPr>
      <w:r>
        <w:t xml:space="preserve">As a banker, Mr. Stearns </w:t>
      </w:r>
      <w:r w:rsidR="007A58BA">
        <w:t xml:space="preserve">may </w:t>
      </w:r>
      <w:r>
        <w:t>be dealing with private companies as well as public companies. The reporting requirements for private companies will vary among nations, and although private companies’ financial statement</w:t>
      </w:r>
      <w:r w:rsidR="00284FC0">
        <w:t>s</w:t>
      </w:r>
      <w:r>
        <w:t xml:space="preserve"> may look uniform, in fact they may be prepared on quite different bases.  </w:t>
      </w:r>
    </w:p>
    <w:p w14:paraId="7D7A3F8D" w14:textId="77777777" w:rsidR="00C258E0" w:rsidRDefault="00C258E0" w:rsidP="00C258E0">
      <w:pPr>
        <w:tabs>
          <w:tab w:val="left" w:pos="440"/>
          <w:tab w:val="left" w:pos="720"/>
          <w:tab w:val="left" w:pos="4680"/>
        </w:tabs>
      </w:pPr>
    </w:p>
    <w:p w14:paraId="55E4FB22" w14:textId="77777777" w:rsidR="00C258E0" w:rsidRDefault="00C258E0" w:rsidP="00C258E0">
      <w:pPr>
        <w:tabs>
          <w:tab w:val="left" w:pos="440"/>
          <w:tab w:val="left" w:pos="720"/>
          <w:tab w:val="left" w:pos="4680"/>
        </w:tabs>
      </w:pPr>
    </w:p>
    <w:p w14:paraId="4C832B61" w14:textId="77777777" w:rsidR="00D57C76" w:rsidRPr="00A83BAC" w:rsidRDefault="00C258E0" w:rsidP="00C258E0">
      <w:pPr>
        <w:pStyle w:val="Heading6"/>
        <w:rPr>
          <w:b w:val="0"/>
        </w:rPr>
      </w:pPr>
      <w:r>
        <w:br w:type="page"/>
      </w:r>
      <w:r>
        <w:lastRenderedPageBreak/>
        <w:t>Assignment 1-3</w:t>
      </w:r>
      <w:r w:rsidR="00B32E87">
        <w:t xml:space="preserve"> </w:t>
      </w:r>
      <w:r w:rsidR="00A83BAC" w:rsidRPr="00A83BAC">
        <w:rPr>
          <w:b w:val="0"/>
          <w:szCs w:val="24"/>
        </w:rPr>
        <w:t>(</w:t>
      </w:r>
      <w:r w:rsidR="00A83BAC" w:rsidRPr="00A83BAC">
        <w:rPr>
          <w:b w:val="0"/>
        </w:rPr>
        <w:t>LO1.3, LO1.4)</w:t>
      </w:r>
    </w:p>
    <w:p w14:paraId="5F2414E2" w14:textId="77777777" w:rsidR="00D57C76" w:rsidRDefault="00D57C76">
      <w:pPr>
        <w:tabs>
          <w:tab w:val="left" w:pos="440"/>
        </w:tabs>
      </w:pPr>
    </w:p>
    <w:p w14:paraId="06420A7B" w14:textId="77777777" w:rsidR="00820413" w:rsidRDefault="00820413">
      <w:pPr>
        <w:tabs>
          <w:tab w:val="left" w:pos="440"/>
        </w:tabs>
      </w:pPr>
      <w:r>
        <w:t>The following accounting policy choices or accounting estimates are necessary:</w:t>
      </w:r>
      <w:r w:rsidR="00F94CD9">
        <w:t xml:space="preserve"> </w:t>
      </w:r>
    </w:p>
    <w:p w14:paraId="2E98C523" w14:textId="77777777" w:rsidR="00C65FD1" w:rsidRDefault="00C65FD1">
      <w:pPr>
        <w:tabs>
          <w:tab w:val="left" w:pos="440"/>
        </w:tabs>
      </w:pPr>
    </w:p>
    <w:p w14:paraId="35CF88E3" w14:textId="77777777" w:rsidR="00F94CD9" w:rsidRDefault="00F94CD9" w:rsidP="00820413">
      <w:pPr>
        <w:numPr>
          <w:ilvl w:val="0"/>
          <w:numId w:val="8"/>
        </w:numPr>
        <w:tabs>
          <w:tab w:val="left" w:pos="440"/>
        </w:tabs>
      </w:pPr>
      <w:r>
        <w:t>The company must consider whether to:</w:t>
      </w:r>
    </w:p>
    <w:p w14:paraId="75C336A4" w14:textId="77777777" w:rsidR="00F94CD9" w:rsidRDefault="000B2A8C" w:rsidP="00D87DA3">
      <w:pPr>
        <w:numPr>
          <w:ilvl w:val="1"/>
          <w:numId w:val="8"/>
        </w:numPr>
        <w:tabs>
          <w:tab w:val="clear" w:pos="1440"/>
          <w:tab w:val="left" w:pos="440"/>
        </w:tabs>
        <w:spacing w:before="120"/>
        <w:ind w:left="900" w:hanging="450"/>
      </w:pPr>
      <w:r>
        <w:t>provide for possibly returning at least part of the inventory to the supplier</w:t>
      </w:r>
      <w:r w:rsidR="00B32E87">
        <w:t xml:space="preserve"> if the agreement allows for returns</w:t>
      </w:r>
      <w:r>
        <w:t>, and</w:t>
      </w:r>
      <w:r w:rsidR="00F94CD9">
        <w:tab/>
      </w:r>
    </w:p>
    <w:p w14:paraId="5D142B09" w14:textId="77777777" w:rsidR="00D57C76" w:rsidRDefault="00F94CD9" w:rsidP="00D87DA3">
      <w:pPr>
        <w:numPr>
          <w:ilvl w:val="1"/>
          <w:numId w:val="8"/>
        </w:numPr>
        <w:tabs>
          <w:tab w:val="clear" w:pos="1440"/>
          <w:tab w:val="left" w:pos="440"/>
        </w:tabs>
        <w:spacing w:before="120"/>
        <w:ind w:left="720" w:hanging="270"/>
      </w:pPr>
      <w:r>
        <w:t xml:space="preserve">write down the remaining inventory to lower of cost </w:t>
      </w:r>
      <w:r w:rsidR="00B46AB4">
        <w:t>and</w:t>
      </w:r>
      <w:r>
        <w:t xml:space="preserve"> </w:t>
      </w:r>
      <w:r w:rsidR="00B32E87">
        <w:t>net realizable value</w:t>
      </w:r>
      <w:r>
        <w:t xml:space="preserve">, which </w:t>
      </w:r>
      <w:r w:rsidR="000B2A8C">
        <w:t>requires the company to</w:t>
      </w:r>
      <w:r>
        <w:t xml:space="preserve"> esti</w:t>
      </w:r>
      <w:r w:rsidR="000B2A8C">
        <w:t>mate its</w:t>
      </w:r>
      <w:r>
        <w:t xml:space="preserve"> net realizable value.</w:t>
      </w:r>
    </w:p>
    <w:p w14:paraId="69C3E30A" w14:textId="77777777" w:rsidR="00624B73" w:rsidRDefault="00624B73" w:rsidP="00624B73">
      <w:pPr>
        <w:numPr>
          <w:ilvl w:val="0"/>
          <w:numId w:val="8"/>
        </w:numPr>
        <w:tabs>
          <w:tab w:val="clear" w:pos="576"/>
          <w:tab w:val="left" w:pos="450"/>
        </w:tabs>
        <w:spacing w:before="120"/>
        <w:ind w:left="446" w:hanging="446"/>
      </w:pPr>
      <w:r>
        <w:t>The company must make a</w:t>
      </w:r>
      <w:r w:rsidR="00610D19">
        <w:t>n</w:t>
      </w:r>
      <w:r>
        <w:t xml:space="preserve"> estimate </w:t>
      </w:r>
      <w:r w:rsidR="00610D19">
        <w:t xml:space="preserve">of </w:t>
      </w:r>
      <w:r>
        <w:t xml:space="preserve">the amount of recovery that is probable and write off the rest of the receivable. Note disclosure will be required for the circumstances and the court action. </w:t>
      </w:r>
    </w:p>
    <w:p w14:paraId="1AE9F09E" w14:textId="77777777" w:rsidR="000B2A8C" w:rsidRDefault="000B2A8C" w:rsidP="00D87DA3">
      <w:pPr>
        <w:numPr>
          <w:ilvl w:val="0"/>
          <w:numId w:val="8"/>
        </w:numPr>
        <w:tabs>
          <w:tab w:val="clear" w:pos="576"/>
          <w:tab w:val="left" w:pos="450"/>
        </w:tabs>
        <w:spacing w:before="120"/>
        <w:ind w:left="446" w:hanging="446"/>
      </w:pPr>
      <w:r>
        <w:t xml:space="preserve">The company must estimate the probability that the legal judgement will be upheld on appeal, and if the probability is greater than not, the company must estimate the actual amount of the final </w:t>
      </w:r>
      <w:r w:rsidR="00FF32EF">
        <w:t xml:space="preserve">financial </w:t>
      </w:r>
      <w:r>
        <w:t xml:space="preserve">judgement. </w:t>
      </w:r>
      <w:r w:rsidR="00FF32EF">
        <w:t xml:space="preserve">If the probability is </w:t>
      </w:r>
      <w:r w:rsidR="00FF32EF">
        <w:rPr>
          <w:rFonts w:ascii="Times New Roman" w:hAnsi="Times New Roman"/>
        </w:rPr>
        <w:t>&gt;</w:t>
      </w:r>
      <w:r w:rsidR="00FF32EF">
        <w:t xml:space="preserve">50%, and if the amount is reasonably estimable, the company must recognize the liability. If </w:t>
      </w:r>
      <w:r w:rsidR="00B46AB4">
        <w:t>the amount is not reasonably estimable</w:t>
      </w:r>
      <w:r w:rsidR="00FF32EF">
        <w:t xml:space="preserve"> the company must prepare a disclosure note. </w:t>
      </w:r>
      <w:r w:rsidR="004A1EF0">
        <w:t>(</w:t>
      </w:r>
      <w:r w:rsidR="00B46AB4">
        <w:t>If not probable</w:t>
      </w:r>
      <w:r w:rsidR="004A1EF0">
        <w:t xml:space="preserve">, </w:t>
      </w:r>
      <w:r w:rsidR="00693DC8">
        <w:t xml:space="preserve">Sukkor </w:t>
      </w:r>
      <w:r w:rsidR="004A1EF0">
        <w:t>would do nothing).</w:t>
      </w:r>
    </w:p>
    <w:p w14:paraId="1BC0AC27" w14:textId="77777777" w:rsidR="00624B73" w:rsidRDefault="00624B73" w:rsidP="00624B73">
      <w:pPr>
        <w:numPr>
          <w:ilvl w:val="0"/>
          <w:numId w:val="8"/>
        </w:numPr>
        <w:tabs>
          <w:tab w:val="clear" w:pos="576"/>
          <w:tab w:val="left" w:pos="450"/>
        </w:tabs>
        <w:spacing w:before="120"/>
      </w:pPr>
      <w:r>
        <w:t xml:space="preserve">The company must </w:t>
      </w:r>
      <w:r w:rsidR="00610D19">
        <w:t xml:space="preserve">provide certain </w:t>
      </w:r>
      <w:r>
        <w:t>estimate</w:t>
      </w:r>
      <w:r w:rsidR="00610D19">
        <w:t>s to determine if the criteria are met to capitalize the development costs</w:t>
      </w:r>
      <w:r>
        <w:t>.</w:t>
      </w:r>
      <w:r w:rsidR="00610D19">
        <w:t xml:space="preserve"> The company must estimate:</w:t>
      </w:r>
    </w:p>
    <w:p w14:paraId="499903F9" w14:textId="77777777" w:rsidR="00610D19" w:rsidRDefault="00610D19" w:rsidP="00610D19">
      <w:pPr>
        <w:tabs>
          <w:tab w:val="left" w:pos="450"/>
        </w:tabs>
        <w:spacing w:before="120"/>
        <w:ind w:left="576"/>
      </w:pPr>
      <w:r>
        <w:t>a. the completion date of the project,</w:t>
      </w:r>
    </w:p>
    <w:p w14:paraId="0E3A3CF4" w14:textId="77777777" w:rsidR="00610D19" w:rsidRDefault="00610D19" w:rsidP="00610D19">
      <w:pPr>
        <w:tabs>
          <w:tab w:val="left" w:pos="450"/>
        </w:tabs>
        <w:spacing w:before="120"/>
        <w:ind w:left="576"/>
      </w:pPr>
      <w:r>
        <w:t>b. potential market,</w:t>
      </w:r>
    </w:p>
    <w:p w14:paraId="6B4119C8" w14:textId="77777777" w:rsidR="00610D19" w:rsidRDefault="00610D19" w:rsidP="00610D19">
      <w:pPr>
        <w:tabs>
          <w:tab w:val="left" w:pos="450"/>
        </w:tabs>
        <w:spacing w:before="120"/>
        <w:ind w:left="576"/>
      </w:pPr>
      <w:r>
        <w:t xml:space="preserve">c. future benefits through sales of the product, </w:t>
      </w:r>
    </w:p>
    <w:p w14:paraId="3B86EFE3" w14:textId="77777777" w:rsidR="00610D19" w:rsidRDefault="00610D19" w:rsidP="00610D19">
      <w:pPr>
        <w:tabs>
          <w:tab w:val="left" w:pos="450"/>
        </w:tabs>
        <w:spacing w:before="120"/>
        <w:ind w:left="576"/>
      </w:pPr>
      <w:r>
        <w:t>d. ability to raise financing to finish the project due to financial difficulty,</w:t>
      </w:r>
    </w:p>
    <w:p w14:paraId="42ADB666" w14:textId="77777777" w:rsidR="00610D19" w:rsidRDefault="00610D19" w:rsidP="00610D19">
      <w:pPr>
        <w:tabs>
          <w:tab w:val="left" w:pos="450"/>
        </w:tabs>
        <w:spacing w:before="120"/>
        <w:ind w:left="576"/>
      </w:pPr>
      <w:r>
        <w:t>e. if capitalized</w:t>
      </w:r>
      <w:r w:rsidR="00693DC8">
        <w:t>,</w:t>
      </w:r>
      <w:r>
        <w:t xml:space="preserve"> the period of amortization</w:t>
      </w:r>
    </w:p>
    <w:p w14:paraId="1D3B4637" w14:textId="77777777" w:rsidR="00695B1A" w:rsidRDefault="00B86B35" w:rsidP="00D87DA3">
      <w:pPr>
        <w:numPr>
          <w:ilvl w:val="0"/>
          <w:numId w:val="8"/>
        </w:numPr>
        <w:tabs>
          <w:tab w:val="clear" w:pos="576"/>
          <w:tab w:val="left" w:pos="450"/>
        </w:tabs>
        <w:spacing w:before="120"/>
        <w:ind w:left="446" w:hanging="446"/>
      </w:pPr>
      <w:r>
        <w:t>The company must estimate:</w:t>
      </w:r>
    </w:p>
    <w:p w14:paraId="060179AF" w14:textId="77777777" w:rsidR="00B86B35" w:rsidRDefault="00B86B35" w:rsidP="00D87DA3">
      <w:pPr>
        <w:numPr>
          <w:ilvl w:val="1"/>
          <w:numId w:val="8"/>
        </w:numPr>
        <w:tabs>
          <w:tab w:val="clear" w:pos="1440"/>
          <w:tab w:val="left" w:pos="450"/>
        </w:tabs>
        <w:spacing w:before="120"/>
        <w:ind w:left="900"/>
      </w:pPr>
      <w:r>
        <w:tab/>
        <w:t>whether the full production cost can be recovered over the next 3 years,</w:t>
      </w:r>
      <w:r w:rsidR="00A50E31">
        <w:t xml:space="preserve"> and</w:t>
      </w:r>
    </w:p>
    <w:p w14:paraId="01A5EFEA" w14:textId="77777777" w:rsidR="00B86B35" w:rsidRDefault="00B86B35" w:rsidP="00D87DA3">
      <w:pPr>
        <w:numPr>
          <w:ilvl w:val="1"/>
          <w:numId w:val="8"/>
        </w:numPr>
        <w:tabs>
          <w:tab w:val="clear" w:pos="1440"/>
          <w:tab w:val="left" w:pos="450"/>
        </w:tabs>
        <w:spacing w:before="120"/>
        <w:ind w:left="900"/>
      </w:pPr>
      <w:r>
        <w:t xml:space="preserve">how the </w:t>
      </w:r>
      <w:r w:rsidR="00DC64A7">
        <w:t>production cost should be amortized (i.e., on the basis of revenues or on a time-basis)</w:t>
      </w:r>
    </w:p>
    <w:p w14:paraId="55F1A678" w14:textId="77777777" w:rsidR="00A50E31" w:rsidRDefault="00A50E31">
      <w:pPr>
        <w:tabs>
          <w:tab w:val="left" w:pos="440"/>
        </w:tabs>
      </w:pPr>
    </w:p>
    <w:p w14:paraId="328C27DB" w14:textId="77777777" w:rsidR="00BF3984" w:rsidRDefault="003A4875">
      <w:pPr>
        <w:tabs>
          <w:tab w:val="left" w:pos="440"/>
        </w:tabs>
      </w:pPr>
      <w:r>
        <w:br w:type="page"/>
      </w:r>
    </w:p>
    <w:p w14:paraId="45E1CED4" w14:textId="24E0C2B3" w:rsidR="004A076A" w:rsidRDefault="004A076A" w:rsidP="004A076A">
      <w:pPr>
        <w:pStyle w:val="Heading6"/>
        <w:tabs>
          <w:tab w:val="left" w:pos="440"/>
        </w:tabs>
      </w:pPr>
      <w:r>
        <w:t>Assignment</w:t>
      </w:r>
      <w:r>
        <w:rPr>
          <w:b w:val="0"/>
        </w:rPr>
        <w:t xml:space="preserve"> </w:t>
      </w:r>
      <w:r w:rsidR="00C258E0">
        <w:t>1-4</w:t>
      </w:r>
      <w:r w:rsidR="00610D19">
        <w:t xml:space="preserve"> </w:t>
      </w:r>
      <w:r w:rsidR="00A83BAC">
        <w:t>(LO1.3</w:t>
      </w:r>
      <w:r w:rsidR="002655C5">
        <w:t>, LO1.4</w:t>
      </w:r>
      <w:r w:rsidR="00A83BAC">
        <w:t>)</w:t>
      </w:r>
    </w:p>
    <w:p w14:paraId="02C885CB" w14:textId="77777777" w:rsidR="004A076A" w:rsidRDefault="004A076A" w:rsidP="004A076A">
      <w:pPr>
        <w:tabs>
          <w:tab w:val="left" w:pos="440"/>
        </w:tabs>
      </w:pPr>
    </w:p>
    <w:p w14:paraId="61C16A00" w14:textId="77777777" w:rsidR="003F634E" w:rsidRDefault="003F634E" w:rsidP="003F634E">
      <w:pPr>
        <w:tabs>
          <w:tab w:val="left" w:pos="440"/>
          <w:tab w:val="left" w:pos="4680"/>
        </w:tabs>
      </w:pPr>
      <w:r>
        <w:t>1.</w:t>
      </w:r>
      <w:r>
        <w:tab/>
        <w:t>Debt/equity ratio decreases</w:t>
      </w:r>
      <w:r>
        <w:tab/>
        <w:t>Income and equity increase</w:t>
      </w:r>
    </w:p>
    <w:p w14:paraId="540C771D" w14:textId="77777777" w:rsidR="003F634E" w:rsidRDefault="003F634E" w:rsidP="003F634E">
      <w:pPr>
        <w:tabs>
          <w:tab w:val="left" w:pos="440"/>
          <w:tab w:val="left" w:pos="4680"/>
        </w:tabs>
      </w:pPr>
      <w:r>
        <w:tab/>
        <w:t>Times-interest-earned ratio increases</w:t>
      </w:r>
      <w:r>
        <w:tab/>
        <w:t>Income increases*</w:t>
      </w:r>
    </w:p>
    <w:p w14:paraId="7D4280B4" w14:textId="77777777" w:rsidR="003F634E" w:rsidRDefault="003F634E" w:rsidP="003F634E">
      <w:pPr>
        <w:tabs>
          <w:tab w:val="left" w:pos="440"/>
          <w:tab w:val="left" w:pos="4680"/>
        </w:tabs>
      </w:pPr>
    </w:p>
    <w:p w14:paraId="7B506C2D" w14:textId="77777777" w:rsidR="003F634E" w:rsidRDefault="003F634E" w:rsidP="003F634E">
      <w:pPr>
        <w:tabs>
          <w:tab w:val="left" w:pos="440"/>
          <w:tab w:val="left" w:pos="4680"/>
        </w:tabs>
      </w:pPr>
      <w:r>
        <w:t>2.</w:t>
      </w:r>
      <w:r>
        <w:tab/>
        <w:t>Debt/equity ratio increases</w:t>
      </w:r>
      <w:r>
        <w:tab/>
        <w:t>Income and equity decrease</w:t>
      </w:r>
    </w:p>
    <w:p w14:paraId="5753050A" w14:textId="77777777" w:rsidR="003F634E" w:rsidRDefault="003F634E" w:rsidP="003F634E">
      <w:pPr>
        <w:tabs>
          <w:tab w:val="left" w:pos="440"/>
          <w:tab w:val="left" w:pos="4680"/>
        </w:tabs>
      </w:pPr>
      <w:r>
        <w:tab/>
        <w:t>Times-interest-earned ratio decreases</w:t>
      </w:r>
      <w:r>
        <w:tab/>
        <w:t>Income decreases*</w:t>
      </w:r>
    </w:p>
    <w:p w14:paraId="26F532DE" w14:textId="77777777" w:rsidR="003F634E" w:rsidRDefault="003F634E" w:rsidP="003F634E">
      <w:pPr>
        <w:tabs>
          <w:tab w:val="left" w:pos="440"/>
          <w:tab w:val="left" w:pos="4680"/>
        </w:tabs>
      </w:pPr>
    </w:p>
    <w:p w14:paraId="27AD2725" w14:textId="77777777" w:rsidR="003F634E" w:rsidRDefault="003F634E" w:rsidP="003F634E">
      <w:pPr>
        <w:tabs>
          <w:tab w:val="left" w:pos="440"/>
          <w:tab w:val="left" w:pos="4680"/>
        </w:tabs>
      </w:pPr>
      <w:r>
        <w:t>3.</w:t>
      </w:r>
      <w:r>
        <w:tab/>
        <w:t>Debt/equity ratio decreases marginally</w:t>
      </w:r>
      <w:r>
        <w:tab/>
        <w:t>Lower discount amortization, lower debt</w:t>
      </w:r>
    </w:p>
    <w:p w14:paraId="38C38EA2" w14:textId="77777777" w:rsidR="003F634E" w:rsidRDefault="003F634E" w:rsidP="003F634E">
      <w:pPr>
        <w:tabs>
          <w:tab w:val="left" w:pos="440"/>
          <w:tab w:val="left" w:pos="4680"/>
          <w:tab w:val="left" w:pos="4860"/>
        </w:tabs>
      </w:pPr>
      <w:r>
        <w:tab/>
      </w:r>
      <w:r>
        <w:tab/>
        <w:t>compared to effective interest method</w:t>
      </w:r>
    </w:p>
    <w:p w14:paraId="4143AEAC" w14:textId="77777777" w:rsidR="003F634E" w:rsidRDefault="003F634E" w:rsidP="003F634E">
      <w:pPr>
        <w:tabs>
          <w:tab w:val="left" w:pos="440"/>
          <w:tab w:val="left" w:pos="4680"/>
          <w:tab w:val="left" w:pos="4860"/>
        </w:tabs>
        <w:ind w:left="4680" w:hanging="4680"/>
      </w:pPr>
      <w:r>
        <w:tab/>
        <w:t>Times-interest-earned ratio increases</w:t>
      </w:r>
      <w:r>
        <w:tab/>
        <w:t>Inco</w:t>
      </w:r>
      <w:r w:rsidR="00610D19">
        <w:t xml:space="preserve">me increases, interest expense </w:t>
      </w:r>
      <w:r>
        <w:t>decreases*</w:t>
      </w:r>
    </w:p>
    <w:p w14:paraId="5C90E3CF" w14:textId="77777777" w:rsidR="003F634E" w:rsidRDefault="003F634E" w:rsidP="003F634E">
      <w:pPr>
        <w:tabs>
          <w:tab w:val="left" w:pos="440"/>
          <w:tab w:val="left" w:pos="4680"/>
        </w:tabs>
      </w:pPr>
    </w:p>
    <w:p w14:paraId="3D80688C" w14:textId="77777777" w:rsidR="003F634E" w:rsidRDefault="003F634E" w:rsidP="003F634E">
      <w:pPr>
        <w:tabs>
          <w:tab w:val="left" w:pos="440"/>
          <w:tab w:val="left" w:pos="4680"/>
        </w:tabs>
      </w:pPr>
      <w:r>
        <w:t>4.</w:t>
      </w:r>
      <w:r>
        <w:tab/>
        <w:t>Debt/equity ratio increases</w:t>
      </w:r>
      <w:r>
        <w:tab/>
        <w:t>Debt increases</w:t>
      </w:r>
      <w:r w:rsidR="004A1EF0">
        <w:t>, equity decreases</w:t>
      </w:r>
    </w:p>
    <w:p w14:paraId="02378F5E" w14:textId="77777777" w:rsidR="003F634E" w:rsidRDefault="003F634E" w:rsidP="003F634E">
      <w:pPr>
        <w:tabs>
          <w:tab w:val="left" w:pos="440"/>
          <w:tab w:val="left" w:pos="4680"/>
        </w:tabs>
        <w:ind w:left="4680" w:hanging="4680"/>
      </w:pPr>
      <w:r>
        <w:tab/>
        <w:t xml:space="preserve">Times-interest-earned ratio decreases** </w:t>
      </w:r>
      <w:r>
        <w:tab/>
      </w:r>
    </w:p>
    <w:p w14:paraId="2883A7B9" w14:textId="77777777" w:rsidR="003F634E" w:rsidRDefault="003F634E" w:rsidP="003F634E">
      <w:pPr>
        <w:tabs>
          <w:tab w:val="left" w:pos="440"/>
          <w:tab w:val="left" w:pos="4680"/>
        </w:tabs>
      </w:pPr>
    </w:p>
    <w:p w14:paraId="5DC61BE1" w14:textId="77777777" w:rsidR="003F634E" w:rsidRDefault="003F634E" w:rsidP="003F634E">
      <w:pPr>
        <w:tabs>
          <w:tab w:val="left" w:pos="440"/>
          <w:tab w:val="left" w:pos="4680"/>
        </w:tabs>
      </w:pPr>
      <w:r>
        <w:t>5.</w:t>
      </w:r>
      <w:r>
        <w:tab/>
        <w:t>Debt/equity ratio increases</w:t>
      </w:r>
      <w:r>
        <w:tab/>
        <w:t>Income and equity decline; warranty</w:t>
      </w:r>
    </w:p>
    <w:p w14:paraId="14287603" w14:textId="77777777" w:rsidR="003F634E" w:rsidRDefault="003F634E" w:rsidP="003F634E">
      <w:pPr>
        <w:tabs>
          <w:tab w:val="left" w:pos="440"/>
          <w:tab w:val="left" w:pos="4680"/>
          <w:tab w:val="left" w:pos="4860"/>
        </w:tabs>
      </w:pPr>
      <w:r>
        <w:tab/>
      </w:r>
      <w:r>
        <w:tab/>
        <w:t>liability increases</w:t>
      </w:r>
    </w:p>
    <w:p w14:paraId="6F43FA73" w14:textId="77777777" w:rsidR="003F634E" w:rsidRDefault="003F634E" w:rsidP="003F634E">
      <w:pPr>
        <w:tabs>
          <w:tab w:val="left" w:pos="440"/>
          <w:tab w:val="left" w:pos="4680"/>
        </w:tabs>
      </w:pPr>
      <w:r>
        <w:tab/>
        <w:t>Times-interest-earned ratio decreases</w:t>
      </w:r>
      <w:r>
        <w:tab/>
        <w:t>Income decreases*</w:t>
      </w:r>
    </w:p>
    <w:p w14:paraId="1DEBF1CF" w14:textId="77777777" w:rsidR="003F634E" w:rsidRDefault="003F634E" w:rsidP="003F634E">
      <w:pPr>
        <w:tabs>
          <w:tab w:val="left" w:pos="440"/>
          <w:tab w:val="left" w:pos="4680"/>
        </w:tabs>
      </w:pPr>
    </w:p>
    <w:p w14:paraId="7FA8588E" w14:textId="77777777" w:rsidR="003F634E" w:rsidRDefault="003F634E" w:rsidP="003F634E">
      <w:pPr>
        <w:tabs>
          <w:tab w:val="left" w:pos="440"/>
          <w:tab w:val="left" w:pos="4680"/>
        </w:tabs>
      </w:pPr>
      <w:r>
        <w:t>6.</w:t>
      </w:r>
      <w:r>
        <w:tab/>
        <w:t>Debt/equity ratio decreases</w:t>
      </w:r>
      <w:r>
        <w:tab/>
        <w:t>Income and equity increases</w:t>
      </w:r>
    </w:p>
    <w:p w14:paraId="785A2EED" w14:textId="77777777" w:rsidR="003F634E" w:rsidRDefault="003F634E" w:rsidP="003F634E">
      <w:pPr>
        <w:tabs>
          <w:tab w:val="left" w:pos="440"/>
          <w:tab w:val="left" w:pos="4680"/>
        </w:tabs>
      </w:pPr>
      <w:r>
        <w:tab/>
        <w:t>Times-interest-earned ratio increases</w:t>
      </w:r>
      <w:r>
        <w:tab/>
        <w:t>Income increases*</w:t>
      </w:r>
    </w:p>
    <w:p w14:paraId="36C7374E" w14:textId="77777777" w:rsidR="003F634E" w:rsidRDefault="003F634E" w:rsidP="003F634E">
      <w:pPr>
        <w:tabs>
          <w:tab w:val="left" w:pos="440"/>
          <w:tab w:val="left" w:pos="4680"/>
        </w:tabs>
      </w:pPr>
    </w:p>
    <w:p w14:paraId="13A172E5" w14:textId="77777777" w:rsidR="003F634E" w:rsidRDefault="003F634E" w:rsidP="003F634E">
      <w:pPr>
        <w:tabs>
          <w:tab w:val="left" w:pos="440"/>
          <w:tab w:val="left" w:pos="4680"/>
        </w:tabs>
      </w:pPr>
      <w:r>
        <w:t xml:space="preserve">  * Income effect is in the first or early years; later the difference would reverse and the effect would be the opposite.</w:t>
      </w:r>
    </w:p>
    <w:p w14:paraId="33C18093" w14:textId="77777777" w:rsidR="003F634E" w:rsidRDefault="003F634E" w:rsidP="003F634E">
      <w:pPr>
        <w:tabs>
          <w:tab w:val="left" w:pos="260"/>
          <w:tab w:val="left" w:pos="2160"/>
        </w:tabs>
        <w:spacing w:before="120"/>
      </w:pPr>
      <w:r>
        <w:t xml:space="preserve">** Dividends on shares are reclassified from the retained earnings statement to the income statement as “interest,” decreasing earnings and increasing “interest.” </w:t>
      </w:r>
    </w:p>
    <w:p w14:paraId="216E68E3" w14:textId="77777777" w:rsidR="001809B2" w:rsidRPr="001809B2" w:rsidRDefault="001809B2" w:rsidP="00A50E31">
      <w:pPr>
        <w:spacing w:after="120"/>
      </w:pPr>
    </w:p>
    <w:p w14:paraId="23BA8C02" w14:textId="77777777" w:rsidR="00B34A35" w:rsidRDefault="00B34A35" w:rsidP="008E13A3">
      <w:pPr>
        <w:pStyle w:val="Heading6"/>
      </w:pPr>
    </w:p>
    <w:p w14:paraId="4699DD67" w14:textId="5D9A23B8" w:rsidR="008E13A3" w:rsidRPr="00AC30E5" w:rsidRDefault="00610D19" w:rsidP="008E13A3">
      <w:pPr>
        <w:pStyle w:val="Heading6"/>
        <w:rPr>
          <w:b w:val="0"/>
          <w:lang w:val="es-ES"/>
        </w:rPr>
      </w:pPr>
      <w:r w:rsidRPr="00AC30E5">
        <w:rPr>
          <w:lang w:val="es-ES"/>
        </w:rPr>
        <w:br w:type="page"/>
      </w:r>
      <w:r w:rsidR="00C258E0" w:rsidRPr="00AC30E5">
        <w:rPr>
          <w:lang w:val="es-ES"/>
        </w:rPr>
        <w:lastRenderedPageBreak/>
        <w:t>Assignment 1-5</w:t>
      </w:r>
      <w:r w:rsidR="00A83BAC" w:rsidRPr="00AC30E5">
        <w:rPr>
          <w:lang w:val="es-ES"/>
        </w:rPr>
        <w:t xml:space="preserve"> </w:t>
      </w:r>
      <w:r w:rsidR="00A83BAC" w:rsidRPr="00AC30E5">
        <w:rPr>
          <w:b w:val="0"/>
          <w:szCs w:val="24"/>
          <w:lang w:val="es-ES"/>
        </w:rPr>
        <w:t xml:space="preserve">(LO1.1, </w:t>
      </w:r>
      <w:r w:rsidR="00A83BAC" w:rsidRPr="00AC30E5">
        <w:rPr>
          <w:b w:val="0"/>
          <w:lang w:val="es-ES"/>
        </w:rPr>
        <w:t>LO1.2, LO1.3, LO1.4)</w:t>
      </w:r>
    </w:p>
    <w:p w14:paraId="17CF867F" w14:textId="77777777" w:rsidR="008E13A3" w:rsidRPr="00AC30E5" w:rsidRDefault="008E13A3" w:rsidP="008E13A3">
      <w:pPr>
        <w:rPr>
          <w:lang w:val="es-ES"/>
        </w:rPr>
      </w:pPr>
    </w:p>
    <w:p w14:paraId="0F6773F5" w14:textId="77777777" w:rsidR="009C046C" w:rsidRDefault="00E474AE" w:rsidP="00D87DA3">
      <w:pPr>
        <w:numPr>
          <w:ilvl w:val="0"/>
          <w:numId w:val="9"/>
        </w:numPr>
        <w:tabs>
          <w:tab w:val="clear" w:pos="576"/>
          <w:tab w:val="num" w:pos="360"/>
        </w:tabs>
        <w:spacing w:after="120"/>
        <w:ind w:left="360" w:hanging="396"/>
      </w:pPr>
      <w:r>
        <w:t xml:space="preserve">It is acceptable to use U.S. dollars and </w:t>
      </w:r>
      <w:smartTag w:uri="urn:schemas-microsoft-com:office:smarttags" w:element="stockticker">
        <w:r w:rsidR="009D2371">
          <w:t>IFRS</w:t>
        </w:r>
      </w:smartTag>
      <w:r w:rsidR="009D2371">
        <w:t xml:space="preserve"> for reporting to the </w:t>
      </w:r>
      <w:smartTag w:uri="urn:schemas-microsoft-com:office:smarttags" w:element="stockticker">
        <w:r w:rsidR="009D2371">
          <w:t>SEC</w:t>
        </w:r>
      </w:smartTag>
      <w:r>
        <w:t>.</w:t>
      </w:r>
    </w:p>
    <w:p w14:paraId="0ED82BDD" w14:textId="77777777" w:rsidR="00E84385" w:rsidRDefault="00E474AE" w:rsidP="00D87DA3">
      <w:pPr>
        <w:numPr>
          <w:ilvl w:val="0"/>
          <w:numId w:val="9"/>
        </w:numPr>
        <w:tabs>
          <w:tab w:val="clear" w:pos="576"/>
          <w:tab w:val="num" w:pos="360"/>
        </w:tabs>
        <w:spacing w:after="120"/>
        <w:ind w:left="360" w:hanging="396"/>
      </w:pPr>
      <w:r>
        <w:t>The s</w:t>
      </w:r>
      <w:r w:rsidR="00E84385">
        <w:t xml:space="preserve">ubsidiary is a private company in </w:t>
      </w:r>
      <w:smartTag w:uri="urn:schemas-microsoft-com:office:smarttags" w:element="country-region">
        <w:smartTag w:uri="urn:schemas-microsoft-com:office:smarttags" w:element="place">
          <w:r w:rsidR="00E84385">
            <w:t>Canada</w:t>
          </w:r>
        </w:smartTag>
      </w:smartTag>
      <w:r w:rsidR="00E84385">
        <w:t xml:space="preserve">. As such, the company is not constrained by Canadian </w:t>
      </w:r>
      <w:r w:rsidR="00243EB1">
        <w:t>accounting standards</w:t>
      </w:r>
      <w:r w:rsidR="00E84385">
        <w:t xml:space="preserve"> and can use IFRS. </w:t>
      </w:r>
      <w:r w:rsidR="00DD0D2C">
        <w:t xml:space="preserve">The statements can be presented in </w:t>
      </w:r>
      <w:smartTag w:uri="urn:schemas-microsoft-com:office:smarttags" w:element="country-region">
        <w:smartTag w:uri="urn:schemas-microsoft-com:office:smarttags" w:element="place">
          <w:r w:rsidR="00985B0E">
            <w:t>U.K.</w:t>
          </w:r>
        </w:smartTag>
      </w:smartTag>
      <w:r w:rsidR="00985B0E">
        <w:t xml:space="preserve"> </w:t>
      </w:r>
      <w:r w:rsidR="00DD0D2C">
        <w:t xml:space="preserve">pounds </w:t>
      </w:r>
      <w:r w:rsidR="00985B0E">
        <w:t xml:space="preserve">sterling </w:t>
      </w:r>
      <w:r w:rsidR="00DD0D2C">
        <w:t xml:space="preserve">(which effectively may be the functional currency of the subsidiary if the majority of its costs are the import cost of the carpets). </w:t>
      </w:r>
    </w:p>
    <w:p w14:paraId="1617770F" w14:textId="77777777" w:rsidR="00E474AE" w:rsidRDefault="000026F6" w:rsidP="00D87DA3">
      <w:pPr>
        <w:numPr>
          <w:ilvl w:val="0"/>
          <w:numId w:val="9"/>
        </w:numPr>
        <w:tabs>
          <w:tab w:val="clear" w:pos="576"/>
          <w:tab w:val="num" w:pos="360"/>
        </w:tabs>
        <w:spacing w:after="120"/>
        <w:ind w:left="360" w:hanging="396"/>
      </w:pPr>
      <w:r>
        <w:t xml:space="preserve">There will be no problem with using </w:t>
      </w:r>
      <w:smartTag w:uri="urn:schemas-microsoft-com:office:smarttags" w:element="stockticker">
        <w:r>
          <w:t>IFRS</w:t>
        </w:r>
      </w:smartTag>
      <w:r>
        <w:t xml:space="preserve"> for a private company. In</w:t>
      </w:r>
      <w:r w:rsidR="004A1EF0">
        <w:t>d</w:t>
      </w:r>
      <w:r>
        <w:t xml:space="preserve">eed, it is wise to use </w:t>
      </w:r>
      <w:smartTag w:uri="urn:schemas-microsoft-com:office:smarttags" w:element="stockticker">
        <w:r>
          <w:t>IFRS</w:t>
        </w:r>
      </w:smartTag>
      <w:r>
        <w:t xml:space="preserve"> if a future public offering or listing is anticipated. </w:t>
      </w:r>
    </w:p>
    <w:p w14:paraId="1D3F2FA7" w14:textId="77777777" w:rsidR="00E474AE" w:rsidRDefault="00E474AE" w:rsidP="00D87DA3">
      <w:pPr>
        <w:numPr>
          <w:ilvl w:val="0"/>
          <w:numId w:val="9"/>
        </w:numPr>
        <w:tabs>
          <w:tab w:val="clear" w:pos="576"/>
          <w:tab w:val="num" w:pos="360"/>
        </w:tabs>
        <w:spacing w:after="120"/>
        <w:ind w:left="360" w:hanging="396"/>
      </w:pPr>
      <w:r>
        <w:t xml:space="preserve">Special purpose reports can always be prepared for specific </w:t>
      </w:r>
      <w:r w:rsidR="007036FB">
        <w:t>users</w:t>
      </w:r>
      <w:r>
        <w:t>.  They cannot be issued publicly</w:t>
      </w:r>
      <w:r w:rsidR="007036FB">
        <w:t>, however</w:t>
      </w:r>
      <w:r>
        <w:t xml:space="preserve">. </w:t>
      </w:r>
    </w:p>
    <w:p w14:paraId="1C13CBCC" w14:textId="77777777" w:rsidR="009C046C" w:rsidRDefault="009C046C" w:rsidP="008E13A3"/>
    <w:p w14:paraId="3E7E1871" w14:textId="77777777" w:rsidR="009C046C" w:rsidRDefault="009C046C" w:rsidP="008E13A3"/>
    <w:p w14:paraId="067C7DE6" w14:textId="7D5929C0" w:rsidR="005F7EF1" w:rsidRPr="00AC30E5" w:rsidRDefault="009732C4" w:rsidP="005F7EF1">
      <w:pPr>
        <w:pStyle w:val="Heading6"/>
        <w:rPr>
          <w:b w:val="0"/>
          <w:lang w:val="es-ES"/>
        </w:rPr>
      </w:pPr>
      <w:r w:rsidRPr="00AC30E5">
        <w:rPr>
          <w:lang w:val="es-ES"/>
        </w:rPr>
        <w:br w:type="page"/>
      </w:r>
      <w:r w:rsidR="005F7EF1" w:rsidRPr="00AC30E5">
        <w:rPr>
          <w:lang w:val="es-ES"/>
        </w:rPr>
        <w:lastRenderedPageBreak/>
        <w:t>Assignment</w:t>
      </w:r>
      <w:r w:rsidR="005F7EF1" w:rsidRPr="00AC30E5">
        <w:rPr>
          <w:b w:val="0"/>
          <w:lang w:val="es-ES"/>
        </w:rPr>
        <w:t xml:space="preserve"> </w:t>
      </w:r>
      <w:r w:rsidR="00C258E0" w:rsidRPr="00AC30E5">
        <w:rPr>
          <w:lang w:val="es-ES"/>
        </w:rPr>
        <w:t>1-6</w:t>
      </w:r>
      <w:r w:rsidR="008905A7" w:rsidRPr="00AC30E5">
        <w:rPr>
          <w:lang w:val="es-ES"/>
        </w:rPr>
        <w:t xml:space="preserve"> </w:t>
      </w:r>
      <w:r w:rsidR="00A83BAC" w:rsidRPr="00AC30E5">
        <w:rPr>
          <w:b w:val="0"/>
          <w:szCs w:val="24"/>
          <w:lang w:val="es-ES"/>
        </w:rPr>
        <w:t xml:space="preserve">(LO1.1, </w:t>
      </w:r>
      <w:r w:rsidR="00A83BAC" w:rsidRPr="00AC30E5">
        <w:rPr>
          <w:b w:val="0"/>
          <w:lang w:val="es-ES"/>
        </w:rPr>
        <w:t>LO1.2, LO1.3, LO1.4)</w:t>
      </w:r>
    </w:p>
    <w:p w14:paraId="70F681AC" w14:textId="77777777" w:rsidR="00C12E27" w:rsidRPr="00AC30E5" w:rsidRDefault="00C12E27" w:rsidP="005F7EF1">
      <w:pPr>
        <w:pStyle w:val="Heading6"/>
        <w:rPr>
          <w:lang w:val="es-ES"/>
        </w:rPr>
      </w:pPr>
    </w:p>
    <w:p w14:paraId="3BD98843" w14:textId="77777777" w:rsidR="00C12E27" w:rsidRDefault="002405AE" w:rsidP="005F7EF1">
      <w:pPr>
        <w:pStyle w:val="Heading6"/>
        <w:rPr>
          <w:b w:val="0"/>
        </w:rPr>
      </w:pPr>
      <w:r>
        <w:rPr>
          <w:b w:val="0"/>
        </w:rPr>
        <w:t>Dear Manager:</w:t>
      </w:r>
    </w:p>
    <w:p w14:paraId="234D5805" w14:textId="77777777" w:rsidR="002405AE" w:rsidRDefault="002405AE" w:rsidP="002405AE"/>
    <w:p w14:paraId="69367DF2" w14:textId="77777777" w:rsidR="007C618E" w:rsidRDefault="008905A7" w:rsidP="002405AE">
      <w:r>
        <w:t xml:space="preserve">You have many factors to consider in making your decision. </w:t>
      </w:r>
      <w:r w:rsidR="002405AE">
        <w:t xml:space="preserve">Since your company is privately-held, you have some options. </w:t>
      </w:r>
      <w:r w:rsidR="007C618E">
        <w:t>The bank requires GAAP</w:t>
      </w:r>
      <w:r w:rsidR="00047CB3">
        <w:t>-</w:t>
      </w:r>
      <w:r w:rsidR="007C618E">
        <w:t xml:space="preserve">Compliant financial statements. </w:t>
      </w:r>
      <w:r w:rsidR="00090DDF">
        <w:t xml:space="preserve">Canadian private companies </w:t>
      </w:r>
      <w:r w:rsidR="007C618E">
        <w:t xml:space="preserve">can use either: </w:t>
      </w:r>
    </w:p>
    <w:p w14:paraId="6A8AADB7" w14:textId="77777777" w:rsidR="007C618E" w:rsidRDefault="00090DDF" w:rsidP="002405AE">
      <w:r>
        <w:t xml:space="preserve">Canadian accounting standards for private enterprises (ASPE), as contained in Part II of the </w:t>
      </w:r>
      <w:r>
        <w:rPr>
          <w:i/>
        </w:rPr>
        <w:t>C</w:t>
      </w:r>
      <w:r w:rsidR="004A1EF0">
        <w:rPr>
          <w:i/>
        </w:rPr>
        <w:t>P</w:t>
      </w:r>
      <w:r>
        <w:rPr>
          <w:i/>
        </w:rPr>
        <w:t>A</w:t>
      </w:r>
      <w:r w:rsidR="004A1EF0">
        <w:rPr>
          <w:i/>
        </w:rPr>
        <w:t xml:space="preserve"> Canada</w:t>
      </w:r>
      <w:r>
        <w:rPr>
          <w:i/>
        </w:rPr>
        <w:t xml:space="preserve"> Handbook</w:t>
      </w:r>
      <w:r>
        <w:t xml:space="preserve"> </w:t>
      </w:r>
      <w:r w:rsidR="007C618E">
        <w:t>or,</w:t>
      </w:r>
    </w:p>
    <w:p w14:paraId="65372889" w14:textId="77777777" w:rsidR="007C618E" w:rsidRDefault="007C618E" w:rsidP="002405AE">
      <w:r>
        <w:t xml:space="preserve">International Financial Reporting Standards as contained in Part I of the </w:t>
      </w:r>
      <w:r>
        <w:rPr>
          <w:i/>
        </w:rPr>
        <w:t>CPA Canada Handbook.</w:t>
      </w:r>
    </w:p>
    <w:p w14:paraId="101AEE8F" w14:textId="77777777" w:rsidR="007C618E" w:rsidRDefault="007C618E" w:rsidP="002405AE"/>
    <w:p w14:paraId="743E8ECE" w14:textId="77777777" w:rsidR="002405AE" w:rsidRDefault="002405AE" w:rsidP="002405AE">
      <w:r>
        <w:t xml:space="preserve">The differences are mainly in some measurement </w:t>
      </w:r>
      <w:r w:rsidR="005A7FD2">
        <w:t>and disclosure requirements</w:t>
      </w:r>
      <w:r w:rsidR="007C618E">
        <w:t xml:space="preserve">. IFRS contains guidance that is generally </w:t>
      </w:r>
      <w:r w:rsidR="005A7FD2">
        <w:t xml:space="preserve">more appropriate for public companies than for the more limited user group of private company statements. </w:t>
      </w:r>
      <w:r w:rsidR="007C618E">
        <w:t>ASPE is also generally more cost</w:t>
      </w:r>
      <w:r w:rsidR="00047CB3">
        <w:t>-</w:t>
      </w:r>
      <w:r w:rsidR="007C618E">
        <w:t xml:space="preserve">effective to prepare. </w:t>
      </w:r>
    </w:p>
    <w:p w14:paraId="1EF97125" w14:textId="77777777" w:rsidR="00090DDF" w:rsidRDefault="00090DDF" w:rsidP="002405AE"/>
    <w:p w14:paraId="6276591A" w14:textId="77777777" w:rsidR="00090DDF" w:rsidRDefault="00090DDF" w:rsidP="002405AE">
      <w:r>
        <w:t>The following are factors to consider in making your decision. To support the use of ASPE you have no desire to go public and you are dealing with a Canadian bank that is familiar with ASPE. On the other hand your major competitors are public companies and using IFRS would make your financial statements more comparable and you may look stronger for selling your company</w:t>
      </w:r>
      <w:r w:rsidR="00047CB3">
        <w:t xml:space="preserve"> since a prospective buyer may want to adopt IFRS</w:t>
      </w:r>
      <w:r>
        <w:t>.</w:t>
      </w:r>
      <w:r w:rsidR="007C618E">
        <w:t xml:space="preserve"> Alternatively, it will be costly to convert to IFRS so that should be considered as there would be additional resources consumed by the business that could </w:t>
      </w:r>
      <w:r w:rsidR="00A8417A">
        <w:t xml:space="preserve">make it appear less attractive. </w:t>
      </w:r>
    </w:p>
    <w:p w14:paraId="71453147" w14:textId="77777777" w:rsidR="00090DDF" w:rsidRDefault="00090DDF" w:rsidP="002405AE"/>
    <w:p w14:paraId="06807425" w14:textId="77777777" w:rsidR="00090DDF" w:rsidRDefault="00090DDF" w:rsidP="002405AE">
      <w:r>
        <w:t>Overall, in making your decision you will need to trade off the costs associated with</w:t>
      </w:r>
      <w:r w:rsidR="00047CB3">
        <w:t xml:space="preserve"> adopting </w:t>
      </w:r>
      <w:r>
        <w:t xml:space="preserve">IFRS compared to the benefits </w:t>
      </w:r>
      <w:r w:rsidR="00047CB3">
        <w:t>of IFRS over</w:t>
      </w:r>
      <w:r>
        <w:t xml:space="preserve"> ASPE.</w:t>
      </w:r>
    </w:p>
    <w:p w14:paraId="08F472F5" w14:textId="77777777" w:rsidR="005A7FD2" w:rsidRDefault="005A7FD2" w:rsidP="002405AE"/>
    <w:p w14:paraId="24EAC75F" w14:textId="60A397C5" w:rsidR="005F7EF1" w:rsidRPr="00AC30E5" w:rsidRDefault="005F7EF1" w:rsidP="005F7EF1">
      <w:pPr>
        <w:pStyle w:val="Heading6"/>
        <w:rPr>
          <w:b w:val="0"/>
          <w:lang w:val="es-ES"/>
        </w:rPr>
      </w:pPr>
      <w:r w:rsidRPr="00AC30E5">
        <w:rPr>
          <w:b w:val="0"/>
          <w:lang w:val="es-ES"/>
        </w:rPr>
        <w:br w:type="page"/>
      </w:r>
      <w:r w:rsidRPr="00AC30E5">
        <w:rPr>
          <w:lang w:val="es-ES"/>
        </w:rPr>
        <w:lastRenderedPageBreak/>
        <w:t>Assignment</w:t>
      </w:r>
      <w:r w:rsidRPr="00AC30E5">
        <w:rPr>
          <w:b w:val="0"/>
          <w:lang w:val="es-ES"/>
        </w:rPr>
        <w:t xml:space="preserve"> </w:t>
      </w:r>
      <w:r w:rsidR="00C258E0" w:rsidRPr="00AC30E5">
        <w:rPr>
          <w:lang w:val="es-ES"/>
        </w:rPr>
        <w:t>1-7</w:t>
      </w:r>
      <w:r w:rsidR="00A83BAC" w:rsidRPr="00AC30E5">
        <w:rPr>
          <w:lang w:val="es-ES"/>
        </w:rPr>
        <w:t xml:space="preserve"> </w:t>
      </w:r>
      <w:r w:rsidR="00A83BAC" w:rsidRPr="00AC30E5">
        <w:rPr>
          <w:b w:val="0"/>
          <w:szCs w:val="24"/>
          <w:lang w:val="es-ES"/>
        </w:rPr>
        <w:t xml:space="preserve">(LO1.1, </w:t>
      </w:r>
      <w:r w:rsidR="00A83BAC" w:rsidRPr="00AC30E5">
        <w:rPr>
          <w:b w:val="0"/>
          <w:lang w:val="es-ES"/>
        </w:rPr>
        <w:t>LO1.2, LO1.3, LO1.4)</w:t>
      </w:r>
    </w:p>
    <w:p w14:paraId="5DEF3AFC" w14:textId="77777777" w:rsidR="00BA599B" w:rsidRPr="00AC30E5" w:rsidRDefault="00BA599B" w:rsidP="008E13A3">
      <w:pPr>
        <w:rPr>
          <w:lang w:val="es-ES"/>
        </w:rPr>
      </w:pPr>
    </w:p>
    <w:p w14:paraId="3DB6CD95" w14:textId="77777777" w:rsidR="00BA599B" w:rsidRDefault="00BA599B" w:rsidP="001652E3">
      <w:pPr>
        <w:spacing w:after="120"/>
        <w:ind w:left="360" w:hanging="360"/>
      </w:pPr>
      <w:r>
        <w:t>1.</w:t>
      </w:r>
      <w:r>
        <w:tab/>
      </w:r>
      <w:r w:rsidR="00F46C16">
        <w:t xml:space="preserve">Moonburst needs a private capital infusion. Negotiations are under way with three American and one Canadian potential equity investors. As a private Canadian company, Moonburst has a wide range of possible reporting standards. </w:t>
      </w:r>
      <w:smartTag w:uri="urn:schemas-microsoft-com:office:smarttags" w:element="stockticker">
        <w:r w:rsidR="00972544">
          <w:t>IFRS</w:t>
        </w:r>
      </w:smartTag>
      <w:r w:rsidR="00972544">
        <w:t xml:space="preserve"> is a possibility, but since none of the potential investors operates in an </w:t>
      </w:r>
      <w:smartTag w:uri="urn:schemas-microsoft-com:office:smarttags" w:element="stockticker">
        <w:r w:rsidR="00972544">
          <w:t>IFRS</w:t>
        </w:r>
      </w:smartTag>
      <w:r w:rsidR="00972544">
        <w:t xml:space="preserve"> environment, </w:t>
      </w:r>
      <w:smartTag w:uri="urn:schemas-microsoft-com:office:smarttags" w:element="stockticker">
        <w:r w:rsidR="00972544">
          <w:t>IFRS</w:t>
        </w:r>
      </w:smartTag>
      <w:r w:rsidR="00972544">
        <w:t xml:space="preserve"> seems an unnecessary burden at this time. The choice would seem to be between </w:t>
      </w:r>
      <w:smartTag w:uri="urn:schemas-microsoft-com:office:smarttags" w:element="country-region">
        <w:smartTag w:uri="urn:schemas-microsoft-com:office:smarttags" w:element="place">
          <w:r w:rsidR="00972544">
            <w:t>U.S.</w:t>
          </w:r>
        </w:smartTag>
      </w:smartTag>
      <w:r w:rsidR="00972544">
        <w:t xml:space="preserve"> standards (i.e., FASB) or Canadian private-company reporting</w:t>
      </w:r>
      <w:r w:rsidR="00090DDF">
        <w:t xml:space="preserve"> (ASPE)</w:t>
      </w:r>
      <w:r w:rsidR="00972544">
        <w:t xml:space="preserve">. Three of the potential investors are U.S.-based, which suggests that </w:t>
      </w:r>
      <w:smartTag w:uri="urn:schemas-microsoft-com:office:smarttags" w:element="country-region">
        <w:smartTag w:uri="urn:schemas-microsoft-com:office:smarttags" w:element="place">
          <w:r w:rsidR="00972544">
            <w:t>U.S.</w:t>
          </w:r>
        </w:smartTag>
      </w:smartTag>
      <w:r w:rsidR="00972544">
        <w:t xml:space="preserve"> standards would be desireable from their point of view. However, </w:t>
      </w:r>
      <w:smartTag w:uri="urn:schemas-microsoft-com:office:smarttags" w:element="country-region">
        <w:smartTag w:uri="urn:schemas-microsoft-com:office:smarttags" w:element="place">
          <w:r w:rsidR="00972544">
            <w:t>U.S.</w:t>
          </w:r>
        </w:smartTag>
      </w:smartTag>
      <w:r w:rsidR="00972544">
        <w:t xml:space="preserve"> standards are at least as complex as </w:t>
      </w:r>
      <w:smartTag w:uri="urn:schemas-microsoft-com:office:smarttags" w:element="stockticker">
        <w:r w:rsidR="00972544">
          <w:t>IFRS</w:t>
        </w:r>
      </w:smartTag>
      <w:r w:rsidR="00972544">
        <w:t>. If the investors are negotiating with Moonburst, they probably are already well aware of Canadian standards</w:t>
      </w:r>
      <w:r w:rsidR="00090DDF">
        <w:t xml:space="preserve"> for private enterprises ASPE</w:t>
      </w:r>
      <w:r w:rsidR="00972544">
        <w:t>. Moonburst should use Canadian standards</w:t>
      </w:r>
      <w:r w:rsidR="00090DDF">
        <w:t xml:space="preserve"> ASPE</w:t>
      </w:r>
      <w:r w:rsidR="00972544">
        <w:t xml:space="preserve"> as reflected in </w:t>
      </w:r>
      <w:r w:rsidR="00243EB1">
        <w:t xml:space="preserve">Part II of </w:t>
      </w:r>
      <w:r w:rsidR="00972544">
        <w:t xml:space="preserve">the </w:t>
      </w:r>
      <w:r w:rsidR="00972544">
        <w:rPr>
          <w:i/>
        </w:rPr>
        <w:t>C</w:t>
      </w:r>
      <w:r w:rsidR="00090DDF">
        <w:rPr>
          <w:i/>
        </w:rPr>
        <w:t>P</w:t>
      </w:r>
      <w:r w:rsidR="00972544">
        <w:rPr>
          <w:i/>
        </w:rPr>
        <w:t>A</w:t>
      </w:r>
      <w:r w:rsidR="00090DDF">
        <w:rPr>
          <w:i/>
        </w:rPr>
        <w:t xml:space="preserve"> Canada</w:t>
      </w:r>
      <w:r w:rsidR="00972544">
        <w:rPr>
          <w:i/>
        </w:rPr>
        <w:t xml:space="preserve"> Handbook</w:t>
      </w:r>
      <w:r w:rsidR="002B6DC3">
        <w:t>. The company can prepare special-purpose statements for the investment firms, if necessary.</w:t>
      </w:r>
    </w:p>
    <w:p w14:paraId="28F9A685" w14:textId="77777777" w:rsidR="002B6DC3" w:rsidRDefault="002B6DC3" w:rsidP="00BA599B">
      <w:pPr>
        <w:ind w:left="360" w:hanging="360"/>
      </w:pPr>
      <w:r>
        <w:tab/>
        <w:t xml:space="preserve">There seems to be no reason </w:t>
      </w:r>
      <w:r w:rsidR="004A1EF0">
        <w:t xml:space="preserve">to </w:t>
      </w:r>
      <w:r>
        <w:t xml:space="preserve">use any reporting currency other than Canadian. Although the source of its raw material is </w:t>
      </w:r>
      <w:smartTag w:uri="urn:schemas-microsoft-com:office:smarttags" w:element="place">
        <w:r>
          <w:t>South America</w:t>
        </w:r>
      </w:smartTag>
      <w:r>
        <w:t>, the bulk of its expenses and all of its revenue will be in Canadian dollars.</w:t>
      </w:r>
    </w:p>
    <w:p w14:paraId="0C760A8C" w14:textId="77777777" w:rsidR="002B6DC3" w:rsidRDefault="002B6DC3" w:rsidP="00BA599B">
      <w:pPr>
        <w:ind w:left="360" w:hanging="360"/>
      </w:pPr>
    </w:p>
    <w:p w14:paraId="277F4240" w14:textId="77777777" w:rsidR="002B6DC3" w:rsidRDefault="002B6DC3" w:rsidP="001652E3">
      <w:pPr>
        <w:spacing w:after="100" w:afterAutospacing="1"/>
        <w:ind w:left="360" w:hanging="360"/>
      </w:pPr>
      <w:r>
        <w:t>2.</w:t>
      </w:r>
      <w:r>
        <w:tab/>
      </w:r>
      <w:r w:rsidR="00EF0D5F">
        <w:t>As</w:t>
      </w:r>
      <w:r w:rsidR="004A1EF0">
        <w:t xml:space="preserve"> a public company, Pangal must</w:t>
      </w:r>
      <w:r w:rsidR="00EF0D5F">
        <w:t xml:space="preserve"> report on the basis of </w:t>
      </w:r>
      <w:smartTag w:uri="urn:schemas-microsoft-com:office:smarttags" w:element="stockticker">
        <w:r w:rsidR="00EF0D5F">
          <w:t>IFRS</w:t>
        </w:r>
      </w:smartTag>
      <w:r w:rsidR="00EF0D5F">
        <w:t xml:space="preserve">. If the company decides to register with the </w:t>
      </w:r>
      <w:smartTag w:uri="urn:schemas-microsoft-com:office:smarttags" w:element="stockticker">
        <w:r w:rsidR="00EF0D5F">
          <w:t>SEC</w:t>
        </w:r>
      </w:smartTag>
      <w:r w:rsidR="00EF0D5F">
        <w:t xml:space="preserve">, </w:t>
      </w:r>
      <w:smartTag w:uri="urn:schemas-microsoft-com:office:smarttags" w:element="stockticker">
        <w:r w:rsidR="00EF0D5F">
          <w:t>IFRS</w:t>
        </w:r>
      </w:smartTag>
      <w:r w:rsidR="00EF0D5F">
        <w:t xml:space="preserve"> will be an acceptable reporting basis. </w:t>
      </w:r>
    </w:p>
    <w:p w14:paraId="581D5D3A" w14:textId="77777777" w:rsidR="001652E3" w:rsidRDefault="001652E3" w:rsidP="00BA599B">
      <w:pPr>
        <w:ind w:left="360" w:hanging="360"/>
      </w:pPr>
      <w:r>
        <w:tab/>
        <w:t>There is some hint that US$ would be a possible reporting currency since 70% of the output is currently sold into the US, but the expenses are in Canadian dollars and US-sourced sales are expected to decline. Canadian dollars should be the reporting currency.</w:t>
      </w:r>
    </w:p>
    <w:p w14:paraId="798E5AF3" w14:textId="77777777" w:rsidR="00657672" w:rsidRDefault="00657672" w:rsidP="00BA599B">
      <w:pPr>
        <w:ind w:left="360" w:hanging="360"/>
      </w:pPr>
    </w:p>
    <w:p w14:paraId="65441728" w14:textId="77777777" w:rsidR="00657672" w:rsidRDefault="00657672" w:rsidP="001652E3">
      <w:pPr>
        <w:spacing w:after="120"/>
        <w:ind w:left="360" w:hanging="360"/>
      </w:pPr>
      <w:r>
        <w:t>3.</w:t>
      </w:r>
      <w:r>
        <w:tab/>
        <w:t xml:space="preserve">EI is a private Canadian company. It is unclear as to whether it is a corporation or a partnership (the consultants have to make an equity investment to become a </w:t>
      </w:r>
      <w:r>
        <w:rPr>
          <w:i/>
        </w:rPr>
        <w:t>senior</w:t>
      </w:r>
      <w:r>
        <w:t xml:space="preserve"> consultant, which suggests that EI is a partnership). As a consultancy, its financial reporting probably is relatively simple (e.g., as compared to a manufacturer). Nevertheless, its primary financial statement users will be its shareholders/partners. A disclosed basis of accounting might be most appropriate, although </w:t>
      </w:r>
      <w:r w:rsidR="00243EB1">
        <w:t>reporting on the basis of Canadian accounting standards for private enterprises</w:t>
      </w:r>
      <w:r w:rsidR="002B3643">
        <w:t xml:space="preserve"> (ASPE)</w:t>
      </w:r>
      <w:r>
        <w:t xml:space="preserve"> </w:t>
      </w:r>
      <w:r w:rsidR="0086578F">
        <w:t>may also</w:t>
      </w:r>
      <w:r>
        <w:t xml:space="preserve"> be appropriate. </w:t>
      </w:r>
    </w:p>
    <w:p w14:paraId="0039558B" w14:textId="77777777" w:rsidR="00657672" w:rsidRDefault="00657672" w:rsidP="00BA599B">
      <w:pPr>
        <w:ind w:left="360" w:hanging="360"/>
      </w:pPr>
      <w:r>
        <w:tab/>
        <w:t>Since most of the company’</w:t>
      </w:r>
      <w:r w:rsidR="006E1603">
        <w:t xml:space="preserve">s business is with European companies, its functional currency may well be the euro. This is not clear, however, since billings can be in US$, C$, £, and other European currencies. If the consultants are mainly Canadian residents, C$ would be most appropriate. </w:t>
      </w:r>
    </w:p>
    <w:p w14:paraId="32935A36" w14:textId="77777777" w:rsidR="006E1603" w:rsidRDefault="006E1603" w:rsidP="00BA599B">
      <w:pPr>
        <w:ind w:left="360" w:hanging="360"/>
      </w:pPr>
    </w:p>
    <w:p w14:paraId="59F8A39B" w14:textId="77777777" w:rsidR="006E1603" w:rsidRDefault="006E1603" w:rsidP="001652E3">
      <w:pPr>
        <w:spacing w:after="120"/>
        <w:ind w:left="360" w:hanging="360"/>
      </w:pPr>
      <w:r>
        <w:t>4.</w:t>
      </w:r>
      <w:r>
        <w:tab/>
      </w:r>
      <w:smartTag w:uri="urn:schemas-microsoft-com:office:smarttags" w:element="stockticker">
        <w:r>
          <w:t>CEC</w:t>
        </w:r>
      </w:smartTag>
      <w:r>
        <w:t xml:space="preserve"> is a private Canadian company with extensive operations in the </w:t>
      </w:r>
      <w:smartTag w:uri="urn:schemas-microsoft-com:office:smarttags" w:element="country-region">
        <w:smartTag w:uri="urn:schemas-microsoft-com:office:smarttags" w:element="place">
          <w:r>
            <w:t>U</w:t>
          </w:r>
          <w:r w:rsidR="005B6FB7">
            <w:t>.</w:t>
          </w:r>
          <w:r>
            <w:t>S</w:t>
          </w:r>
          <w:r w:rsidR="005B6FB7">
            <w:t>.</w:t>
          </w:r>
        </w:smartTag>
      </w:smartTag>
      <w:r>
        <w:t xml:space="preserve"> and in U</w:t>
      </w:r>
      <w:r w:rsidR="005B6FB7">
        <w:t>.</w:t>
      </w:r>
      <w:r>
        <w:t>S</w:t>
      </w:r>
      <w:r w:rsidR="005B6FB7">
        <w:t>.</w:t>
      </w:r>
      <w:r>
        <w:t xml:space="preserve"> dollars. </w:t>
      </w:r>
      <w:r w:rsidR="003567F6">
        <w:t xml:space="preserve">The most relevant GAAPs would be (1) Canadian </w:t>
      </w:r>
      <w:r w:rsidR="005B6FB7">
        <w:t>accounting standards for private companies (ASPE)</w:t>
      </w:r>
      <w:r w:rsidR="003567F6">
        <w:t xml:space="preserve"> and (2) DBA. FASB standards (i.e., U</w:t>
      </w:r>
      <w:r w:rsidR="005B6FB7">
        <w:t>.</w:t>
      </w:r>
      <w:r w:rsidR="003567F6">
        <w:t>S</w:t>
      </w:r>
      <w:r w:rsidR="005B6FB7">
        <w:t>.</w:t>
      </w:r>
      <w:r w:rsidR="003567F6">
        <w:t xml:space="preserve"> GAAP) are designed for public companies and </w:t>
      </w:r>
      <w:r w:rsidR="005B6FB7">
        <w:t>international standards</w:t>
      </w:r>
      <w:r w:rsidR="003567F6">
        <w:t xml:space="preserve"> have no advantage in this situation; thus, neither is suitable for </w:t>
      </w:r>
      <w:smartTag w:uri="urn:schemas-microsoft-com:office:smarttags" w:element="stockticker">
        <w:r w:rsidR="003567F6">
          <w:t>CEC</w:t>
        </w:r>
      </w:smartTag>
      <w:r w:rsidR="003567F6">
        <w:t xml:space="preserve">. The best might be </w:t>
      </w:r>
      <w:r w:rsidR="002B3643">
        <w:t xml:space="preserve">ASPE </w:t>
      </w:r>
      <w:r w:rsidR="003567F6">
        <w:t xml:space="preserve">Canadian </w:t>
      </w:r>
      <w:r w:rsidR="003567F6">
        <w:lastRenderedPageBreak/>
        <w:t xml:space="preserve">private-company GAAP, with possible variations based on industry practice (which effectively turns it into DBA). </w:t>
      </w:r>
    </w:p>
    <w:p w14:paraId="32A95F4E" w14:textId="77777777" w:rsidR="003567F6" w:rsidRPr="00657672" w:rsidRDefault="003567F6" w:rsidP="00BA599B">
      <w:pPr>
        <w:ind w:left="360" w:hanging="360"/>
      </w:pPr>
      <w:r>
        <w:tab/>
        <w:t>U</w:t>
      </w:r>
      <w:r w:rsidR="005B6FB7">
        <w:t>.</w:t>
      </w:r>
      <w:r>
        <w:t>S</w:t>
      </w:r>
      <w:r w:rsidR="005B6FB7">
        <w:t>.</w:t>
      </w:r>
      <w:r>
        <w:t xml:space="preserve"> dollars would probably be the most relevant reporting currency given that most of its operations are in the </w:t>
      </w:r>
      <w:smartTag w:uri="urn:schemas-microsoft-com:office:smarttags" w:element="country-region">
        <w:smartTag w:uri="urn:schemas-microsoft-com:office:smarttags" w:element="place">
          <w:r>
            <w:t>USA</w:t>
          </w:r>
        </w:smartTag>
      </w:smartTag>
      <w:r>
        <w:t>.</w:t>
      </w:r>
    </w:p>
    <w:p w14:paraId="26B9FFB1" w14:textId="77777777" w:rsidR="005B6FB7" w:rsidRDefault="005B6FB7" w:rsidP="008E13A3"/>
    <w:p w14:paraId="4892E04C" w14:textId="77777777" w:rsidR="005B6FB7" w:rsidRDefault="005B6FB7" w:rsidP="008E13A3"/>
    <w:p w14:paraId="45B3A9E3" w14:textId="77777777" w:rsidR="005B6FB7" w:rsidRDefault="005B6FB7" w:rsidP="008E13A3"/>
    <w:p w14:paraId="188940FC" w14:textId="77777777" w:rsidR="009C046C" w:rsidRPr="00BA599B" w:rsidRDefault="009C046C" w:rsidP="008E13A3"/>
    <w:p w14:paraId="648EBD04" w14:textId="5E0E39E1" w:rsidR="009C046C" w:rsidRPr="00AC30E5" w:rsidRDefault="009C046C" w:rsidP="009C046C">
      <w:pPr>
        <w:pStyle w:val="Heading6"/>
        <w:rPr>
          <w:lang w:val="es-ES"/>
        </w:rPr>
      </w:pPr>
      <w:r w:rsidRPr="00AC30E5">
        <w:rPr>
          <w:lang w:val="es-ES"/>
        </w:rPr>
        <w:t>Assignment</w:t>
      </w:r>
      <w:r w:rsidRPr="00AC30E5">
        <w:rPr>
          <w:b w:val="0"/>
          <w:lang w:val="es-ES"/>
        </w:rPr>
        <w:t xml:space="preserve"> </w:t>
      </w:r>
      <w:r w:rsidRPr="00AC30E5">
        <w:rPr>
          <w:lang w:val="es-ES"/>
        </w:rPr>
        <w:t>1-</w:t>
      </w:r>
      <w:r w:rsidR="00C258E0" w:rsidRPr="00AC30E5">
        <w:rPr>
          <w:lang w:val="es-ES"/>
        </w:rPr>
        <w:t>8</w:t>
      </w:r>
      <w:r w:rsidR="00A83BAC" w:rsidRPr="00AC30E5">
        <w:rPr>
          <w:lang w:val="es-ES"/>
        </w:rPr>
        <w:t xml:space="preserve"> </w:t>
      </w:r>
      <w:r w:rsidR="00A83BAC" w:rsidRPr="00AC30E5">
        <w:rPr>
          <w:b w:val="0"/>
          <w:szCs w:val="24"/>
          <w:lang w:val="es-ES"/>
        </w:rPr>
        <w:t xml:space="preserve">(LO1.1, </w:t>
      </w:r>
      <w:r w:rsidR="00A83BAC" w:rsidRPr="00AC30E5">
        <w:rPr>
          <w:b w:val="0"/>
          <w:lang w:val="es-ES"/>
        </w:rPr>
        <w:t>LO1.2, LO1.3, LO1.4)</w:t>
      </w:r>
    </w:p>
    <w:p w14:paraId="52F62881" w14:textId="77777777" w:rsidR="009C046C" w:rsidRPr="00AC30E5" w:rsidRDefault="009C046C" w:rsidP="009C046C">
      <w:pPr>
        <w:pStyle w:val="Heading6"/>
        <w:rPr>
          <w:lang w:val="es-ES"/>
        </w:rPr>
      </w:pPr>
    </w:p>
    <w:p w14:paraId="487CC5D6" w14:textId="77777777" w:rsidR="00C85EDC" w:rsidRDefault="00C85EDC" w:rsidP="00C85EDC">
      <w:pPr>
        <w:ind w:left="360" w:hanging="360"/>
      </w:pPr>
      <w:r>
        <w:t>1.</w:t>
      </w:r>
      <w:r>
        <w:tab/>
        <w:t xml:space="preserve">Since the company is searching for funds internationally, Canadian GAAP statements will be unfamiliar to potential investors. </w:t>
      </w:r>
      <w:r w:rsidR="002B3643">
        <w:t>It might be preferable to raise financing to move to I</w:t>
      </w:r>
      <w:r>
        <w:t>FRS.</w:t>
      </w:r>
      <w:r w:rsidR="004A1EF0">
        <w:t xml:space="preserve"> The company should also use US dollars as presentation currency.</w:t>
      </w:r>
    </w:p>
    <w:p w14:paraId="75BE8EF0" w14:textId="77777777" w:rsidR="00C85EDC" w:rsidRPr="002D1838" w:rsidRDefault="00C85EDC" w:rsidP="00C85EDC">
      <w:pPr>
        <w:ind w:left="360" w:hanging="360"/>
      </w:pPr>
    </w:p>
    <w:p w14:paraId="2A7E721E" w14:textId="77777777" w:rsidR="005F7EF1" w:rsidRDefault="00C85EDC" w:rsidP="001652E3">
      <w:pPr>
        <w:ind w:left="360" w:hanging="360"/>
      </w:pPr>
      <w:r>
        <w:t>2</w:t>
      </w:r>
      <w:r w:rsidR="001652E3">
        <w:t>.</w:t>
      </w:r>
      <w:r w:rsidR="001652E3">
        <w:tab/>
      </w:r>
      <w:r w:rsidR="002B3643">
        <w:t>FI</w:t>
      </w:r>
      <w:r w:rsidR="002D1838">
        <w:t xml:space="preserve"> should continue to </w:t>
      </w:r>
      <w:r w:rsidR="005B6FB7">
        <w:t>use Canadian private enteprise accounting standards</w:t>
      </w:r>
      <w:r w:rsidR="002B3643">
        <w:t xml:space="preserve"> (ASPE)</w:t>
      </w:r>
      <w:r w:rsidR="002D1838">
        <w:t xml:space="preserve"> as prescribed in the </w:t>
      </w:r>
      <w:r w:rsidR="002B3643">
        <w:rPr>
          <w:i/>
        </w:rPr>
        <w:t>CPA Canada</w:t>
      </w:r>
      <w:r w:rsidR="002D1838">
        <w:rPr>
          <w:i/>
        </w:rPr>
        <w:t xml:space="preserve"> Handbook</w:t>
      </w:r>
      <w:r w:rsidR="002B3643">
        <w:rPr>
          <w:i/>
        </w:rPr>
        <w:t xml:space="preserve"> Part II</w:t>
      </w:r>
      <w:r w:rsidR="002B3643">
        <w:t xml:space="preserve"> to continue to obtain financing from the Class B shareholders</w:t>
      </w:r>
      <w:r w:rsidR="002D1838">
        <w:t xml:space="preserve">. If the </w:t>
      </w:r>
      <w:r w:rsidR="002B3643">
        <w:t>Class A shareholders who have control wish reporting on</w:t>
      </w:r>
      <w:r w:rsidR="002D1838">
        <w:t xml:space="preserve"> </w:t>
      </w:r>
      <w:r w:rsidR="007F0A77">
        <w:t xml:space="preserve">a </w:t>
      </w:r>
      <w:r w:rsidR="002D1838">
        <w:t xml:space="preserve">near-cash basis, </w:t>
      </w:r>
      <w:r w:rsidR="002B3643">
        <w:t>FI</w:t>
      </w:r>
      <w:r w:rsidR="002D1838">
        <w:t xml:space="preserve"> should prepare special-purpose reports for the fund by backing out accruals and interperiod allocations other than those “permitted” by the fund. </w:t>
      </w:r>
      <w:r w:rsidR="002B3643">
        <w:t>FI</w:t>
      </w:r>
      <w:r w:rsidR="002D1838">
        <w:t xml:space="preserve"> can continue to have its regular </w:t>
      </w:r>
      <w:r w:rsidR="005B6FB7">
        <w:t>financial statements</w:t>
      </w:r>
      <w:r w:rsidR="002D1838">
        <w:t xml:space="preserve"> audited; the auditor can then review the special purpose reports and give so</w:t>
      </w:r>
      <w:r w:rsidR="002B3643">
        <w:t>me assurance on them to the Class A shareholders</w:t>
      </w:r>
      <w:r w:rsidR="002D1838">
        <w:t>.</w:t>
      </w:r>
      <w:r w:rsidR="002B3643">
        <w:t xml:space="preserve"> </w:t>
      </w:r>
    </w:p>
    <w:p w14:paraId="4FECB626" w14:textId="77777777" w:rsidR="002D1838" w:rsidRDefault="002D1838" w:rsidP="001652E3">
      <w:pPr>
        <w:ind w:left="360" w:hanging="360"/>
      </w:pPr>
    </w:p>
    <w:p w14:paraId="4714B40F" w14:textId="77777777" w:rsidR="002B3643" w:rsidRPr="00957F6A" w:rsidRDefault="002B3643" w:rsidP="002B3643">
      <w:pPr>
        <w:pStyle w:val="bceaclnAssignments"/>
        <w:widowControl/>
        <w:spacing w:before="0" w:after="120" w:line="240" w:lineRule="auto"/>
        <w:rPr>
          <w:rFonts w:ascii="Times New Roman" w:hAnsi="Times New Roman" w:cs="Times New Roman"/>
          <w:color w:val="auto"/>
          <w:sz w:val="20"/>
        </w:rPr>
      </w:pPr>
      <w:r w:rsidRPr="00957F6A">
        <w:rPr>
          <w:rFonts w:ascii="Times New Roman" w:hAnsi="Times New Roman" w:cs="Times New Roman"/>
          <w:color w:val="auto"/>
          <w:sz w:val="20"/>
        </w:rPr>
        <w:tab/>
      </w:r>
    </w:p>
    <w:p w14:paraId="004C7EA4" w14:textId="77777777" w:rsidR="005F7EF1" w:rsidRDefault="005F7EF1" w:rsidP="005F7EF1"/>
    <w:p w14:paraId="11A30F3B" w14:textId="77777777" w:rsidR="005F7EF1" w:rsidRPr="005F7EF1" w:rsidRDefault="005F7EF1" w:rsidP="005F7EF1"/>
    <w:p w14:paraId="378C0002" w14:textId="1530E651" w:rsidR="009348A5" w:rsidRPr="00AC30E5" w:rsidRDefault="00E67D94" w:rsidP="00BD6AD8">
      <w:pPr>
        <w:pStyle w:val="bceactxspaceAssignments"/>
        <w:widowControl/>
        <w:pBdr>
          <w:top w:val="none" w:sz="0" w:space="0" w:color="auto"/>
        </w:pBdr>
        <w:spacing w:before="0" w:after="120" w:line="240" w:lineRule="auto"/>
        <w:rPr>
          <w:rFonts w:ascii="Times New Roman" w:hAnsi="Times New Roman" w:cs="Times New Roman"/>
          <w:b/>
          <w:sz w:val="24"/>
          <w:szCs w:val="24"/>
          <w:lang w:val="es-ES"/>
        </w:rPr>
      </w:pPr>
      <w:r w:rsidRPr="00AC30E5">
        <w:rPr>
          <w:rFonts w:ascii="Times New Roman" w:hAnsi="Times New Roman" w:cs="Times New Roman"/>
          <w:lang w:val="es-ES"/>
        </w:rPr>
        <w:br w:type="page"/>
      </w:r>
      <w:r w:rsidR="00BF3984" w:rsidRPr="00AC30E5">
        <w:rPr>
          <w:rFonts w:ascii="Times New Roman" w:hAnsi="Times New Roman" w:cs="Times New Roman"/>
          <w:sz w:val="24"/>
          <w:szCs w:val="24"/>
          <w:lang w:val="es-ES"/>
        </w:rPr>
        <w:lastRenderedPageBreak/>
        <w:t xml:space="preserve"> </w:t>
      </w:r>
      <w:proofErr w:type="spellStart"/>
      <w:r w:rsidR="009348A5" w:rsidRPr="00AC30E5">
        <w:rPr>
          <w:rFonts w:ascii="Times New Roman" w:hAnsi="Times New Roman" w:cs="Times New Roman"/>
          <w:b/>
          <w:sz w:val="24"/>
          <w:szCs w:val="24"/>
          <w:lang w:val="es-ES"/>
        </w:rPr>
        <w:t>Assignment</w:t>
      </w:r>
      <w:proofErr w:type="spellEnd"/>
      <w:r w:rsidR="009348A5" w:rsidRPr="00AC30E5">
        <w:rPr>
          <w:rFonts w:ascii="Times New Roman" w:hAnsi="Times New Roman" w:cs="Times New Roman"/>
          <w:b/>
          <w:sz w:val="24"/>
          <w:szCs w:val="24"/>
          <w:lang w:val="es-ES"/>
        </w:rPr>
        <w:t xml:space="preserve"> 1-</w:t>
      </w:r>
      <w:r w:rsidR="00C258E0" w:rsidRPr="00AC30E5">
        <w:rPr>
          <w:rFonts w:ascii="Times New Roman" w:hAnsi="Times New Roman" w:cs="Times New Roman"/>
          <w:b/>
          <w:sz w:val="24"/>
          <w:szCs w:val="24"/>
          <w:lang w:val="es-ES"/>
        </w:rPr>
        <w:t>9</w:t>
      </w:r>
      <w:r w:rsidR="009348A5" w:rsidRPr="00AC30E5">
        <w:rPr>
          <w:rFonts w:ascii="Times New Roman" w:hAnsi="Times New Roman" w:cs="Times New Roman"/>
          <w:b/>
          <w:sz w:val="24"/>
          <w:szCs w:val="24"/>
          <w:lang w:val="es-ES"/>
        </w:rPr>
        <w:t xml:space="preserve"> </w:t>
      </w:r>
      <w:r w:rsidR="00A83BAC" w:rsidRPr="00AC30E5">
        <w:rPr>
          <w:rFonts w:ascii="Times New Roman" w:hAnsi="Times New Roman" w:cs="Times New Roman"/>
          <w:b/>
          <w:sz w:val="24"/>
          <w:szCs w:val="24"/>
          <w:lang w:val="es-ES"/>
        </w:rPr>
        <w:t>(</w:t>
      </w:r>
      <w:r w:rsidR="00A83BAC" w:rsidRPr="00AC30E5">
        <w:rPr>
          <w:rFonts w:ascii="Times New Roman" w:hAnsi="Times New Roman" w:cs="Times New Roman"/>
          <w:sz w:val="24"/>
          <w:szCs w:val="24"/>
          <w:lang w:val="es-ES"/>
        </w:rPr>
        <w:t>LO1.1, LO1.2, LO1.3, LO1.4)</w:t>
      </w:r>
    </w:p>
    <w:p w14:paraId="10E93011" w14:textId="77777777" w:rsidR="009348A5" w:rsidRPr="00AC30E5" w:rsidRDefault="009348A5" w:rsidP="009348A5">
      <w:pPr>
        <w:rPr>
          <w:lang w:val="es-ES"/>
        </w:rPr>
      </w:pPr>
    </w:p>
    <w:p w14:paraId="5CE5B1F9" w14:textId="77777777" w:rsidR="00671648" w:rsidRDefault="00671648" w:rsidP="00DD0BD5">
      <w:pPr>
        <w:pStyle w:val="BodyTextIndent"/>
        <w:ind w:left="280"/>
      </w:pPr>
      <w:r>
        <w:t xml:space="preserve">The </w:t>
      </w:r>
      <w:r w:rsidR="00BD6AD8">
        <w:rPr>
          <w:i/>
        </w:rPr>
        <w:t>CPA Canada Handbook</w:t>
      </w:r>
      <w:r w:rsidR="00DD0BD5">
        <w:t xml:space="preserve"> cites the </w:t>
      </w:r>
      <w:r>
        <w:t>objectives of general purpose financial statement</w:t>
      </w:r>
      <w:r w:rsidR="00DD0BD5">
        <w:t>s as:</w:t>
      </w:r>
      <w:r>
        <w:t xml:space="preserve"> </w:t>
      </w:r>
    </w:p>
    <w:p w14:paraId="72E98754" w14:textId="77777777" w:rsidR="00DD0BD5" w:rsidRDefault="00DD0BD5" w:rsidP="00BA5A54">
      <w:pPr>
        <w:pStyle w:val="BodyTextIndent"/>
        <w:spacing w:before="120" w:after="120"/>
        <w:ind w:left="548" w:hanging="274"/>
      </w:pPr>
      <w:r>
        <w:t xml:space="preserve">... to provide financial information ... that is useful to present and potential equity investors, lenders and other creditors in making decisions in their capacity as capital providers. Information that is decision-useful to </w:t>
      </w:r>
      <w:r w:rsidR="00BA5A54">
        <w:t xml:space="preserve">capital providers may also be useful to other users of financial reporting who are </w:t>
      </w:r>
      <w:r w:rsidR="004A1EF0">
        <w:t>n</w:t>
      </w:r>
      <w:r w:rsidR="00BA5A54">
        <w:t>ot capital providers.</w:t>
      </w:r>
    </w:p>
    <w:p w14:paraId="03F9949C" w14:textId="77777777" w:rsidR="00671648" w:rsidRDefault="00BA5A54" w:rsidP="00671648">
      <w:r>
        <w:t xml:space="preserve">These objectives are very broad and applications of accounting standards can still be affected by the entity-specific objectives of financial reporting. </w:t>
      </w:r>
      <w:r w:rsidR="00BD6AD8">
        <w:t>The objectives of a private and public company can be different since private companies may have a more limited group of users and may be more interested in minimizing income taxes. However a large private compa</w:t>
      </w:r>
      <w:r w:rsidR="007F0A77">
        <w:t>n</w:t>
      </w:r>
      <w:r w:rsidR="00BD6AD8">
        <w:t xml:space="preserve">y may have the same objectives as a public company. </w:t>
      </w:r>
      <w:r>
        <w:t>A summary follows:</w:t>
      </w:r>
    </w:p>
    <w:p w14:paraId="18C6D826" w14:textId="77777777" w:rsidR="00671648" w:rsidRDefault="00671648" w:rsidP="00671648"/>
    <w:p w14:paraId="1F5EFB7B" w14:textId="77777777" w:rsidR="00671648" w:rsidRDefault="00671648" w:rsidP="00671648">
      <w:pPr>
        <w:pStyle w:val="Heading3"/>
        <w:tabs>
          <w:tab w:val="left" w:pos="5040"/>
        </w:tabs>
        <w:rPr>
          <w:i/>
        </w:rPr>
      </w:pPr>
      <w:r>
        <w:rPr>
          <w:i/>
        </w:rPr>
        <w:t>Objectives</w:t>
      </w:r>
      <w:r>
        <w:rPr>
          <w:i/>
        </w:rPr>
        <w:tab/>
        <w:t>Policy</w:t>
      </w:r>
    </w:p>
    <w:p w14:paraId="19E250B6" w14:textId="77777777" w:rsidR="00671648" w:rsidRDefault="00671648" w:rsidP="00671648">
      <w:pPr>
        <w:tabs>
          <w:tab w:val="left" w:pos="5040"/>
        </w:tabs>
      </w:pPr>
    </w:p>
    <w:p w14:paraId="1A3F2458" w14:textId="77777777" w:rsidR="00671648" w:rsidRDefault="00671648" w:rsidP="00671648">
      <w:pPr>
        <w:tabs>
          <w:tab w:val="left" w:pos="440"/>
          <w:tab w:val="left" w:pos="5040"/>
        </w:tabs>
      </w:pPr>
      <w:r>
        <w:t>1.</w:t>
      </w:r>
      <w:r>
        <w:tab/>
      </w:r>
      <w:bookmarkStart w:id="0" w:name="_Hlk57459003"/>
      <w:r>
        <w:t>Assessing and predicting cash flow</w:t>
      </w:r>
      <w:r>
        <w:tab/>
        <w:t>Revenues and expenses recognized</w:t>
      </w:r>
    </w:p>
    <w:p w14:paraId="03620FBA" w14:textId="77777777" w:rsidR="00671648" w:rsidRDefault="00671648" w:rsidP="00671648">
      <w:pPr>
        <w:tabs>
          <w:tab w:val="left" w:pos="440"/>
          <w:tab w:val="left" w:pos="5040"/>
        </w:tabs>
      </w:pPr>
      <w:r>
        <w:tab/>
      </w:r>
      <w:r>
        <w:tab/>
      </w:r>
      <w:r w:rsidR="00BA5A54">
        <w:t xml:space="preserve">  </w:t>
      </w:r>
      <w:r>
        <w:t>close to the related cash flows.</w:t>
      </w:r>
    </w:p>
    <w:p w14:paraId="6401F82F" w14:textId="77777777" w:rsidR="00671648" w:rsidRDefault="00671648" w:rsidP="00671648">
      <w:pPr>
        <w:tabs>
          <w:tab w:val="left" w:pos="440"/>
          <w:tab w:val="left" w:pos="5040"/>
        </w:tabs>
      </w:pPr>
      <w:r>
        <w:tab/>
      </w:r>
      <w:r>
        <w:tab/>
        <w:t>Extensive disclosure notes regarding</w:t>
      </w:r>
    </w:p>
    <w:p w14:paraId="3A9B03F5" w14:textId="77777777" w:rsidR="00671648" w:rsidRDefault="00671648" w:rsidP="00671648">
      <w:pPr>
        <w:tabs>
          <w:tab w:val="left" w:pos="440"/>
          <w:tab w:val="left" w:pos="5040"/>
        </w:tabs>
      </w:pPr>
      <w:r>
        <w:tab/>
      </w:r>
      <w:r>
        <w:tab/>
      </w:r>
      <w:r w:rsidR="00BA5A54">
        <w:t xml:space="preserve">  </w:t>
      </w:r>
      <w:r>
        <w:t>cash flow</w:t>
      </w:r>
      <w:r w:rsidR="007F0A77">
        <w:t>s</w:t>
      </w:r>
      <w:r>
        <w:t>.</w:t>
      </w:r>
    </w:p>
    <w:p w14:paraId="67F3A285" w14:textId="77777777" w:rsidR="00671648" w:rsidRDefault="00671648" w:rsidP="00671648">
      <w:pPr>
        <w:tabs>
          <w:tab w:val="left" w:pos="440"/>
          <w:tab w:val="left" w:pos="5040"/>
        </w:tabs>
      </w:pPr>
    </w:p>
    <w:p w14:paraId="08AEC454" w14:textId="77777777" w:rsidR="00671648" w:rsidRDefault="00671648" w:rsidP="00671648">
      <w:pPr>
        <w:tabs>
          <w:tab w:val="left" w:pos="440"/>
          <w:tab w:val="left" w:pos="5040"/>
        </w:tabs>
      </w:pPr>
      <w:r>
        <w:t>2.</w:t>
      </w:r>
      <w:r>
        <w:tab/>
        <w:t>Income tax minimization</w:t>
      </w:r>
      <w:r>
        <w:tab/>
        <w:t>Defer revenues as long as possible.</w:t>
      </w:r>
    </w:p>
    <w:p w14:paraId="33AE6F3B" w14:textId="77777777" w:rsidR="00671648" w:rsidRDefault="00671648" w:rsidP="00671648">
      <w:pPr>
        <w:tabs>
          <w:tab w:val="left" w:pos="440"/>
          <w:tab w:val="left" w:pos="5040"/>
        </w:tabs>
      </w:pPr>
      <w:r>
        <w:tab/>
      </w:r>
      <w:r>
        <w:tab/>
        <w:t>Recognize expenses as soon as</w:t>
      </w:r>
    </w:p>
    <w:p w14:paraId="45EE046C" w14:textId="77777777" w:rsidR="00671648" w:rsidRDefault="00671648" w:rsidP="00671648">
      <w:pPr>
        <w:tabs>
          <w:tab w:val="left" w:pos="440"/>
          <w:tab w:val="left" w:pos="5040"/>
        </w:tabs>
      </w:pPr>
      <w:r>
        <w:tab/>
      </w:r>
      <w:r>
        <w:tab/>
      </w:r>
      <w:r w:rsidR="00BA5A54">
        <w:t xml:space="preserve">  </w:t>
      </w:r>
      <w:r>
        <w:t>possible.</w:t>
      </w:r>
    </w:p>
    <w:p w14:paraId="572C82D7" w14:textId="77777777" w:rsidR="00671648" w:rsidRDefault="00671648" w:rsidP="00671648">
      <w:pPr>
        <w:tabs>
          <w:tab w:val="left" w:pos="440"/>
          <w:tab w:val="left" w:pos="5040"/>
        </w:tabs>
      </w:pPr>
      <w:r>
        <w:tab/>
      </w:r>
      <w:r>
        <w:tab/>
        <w:t>(As long as policies also acceptable</w:t>
      </w:r>
    </w:p>
    <w:p w14:paraId="61A4699D" w14:textId="77777777" w:rsidR="00671648" w:rsidRDefault="00671648" w:rsidP="00671648">
      <w:pPr>
        <w:tabs>
          <w:tab w:val="left" w:pos="440"/>
          <w:tab w:val="left" w:pos="5040"/>
        </w:tabs>
      </w:pPr>
      <w:r>
        <w:tab/>
      </w:r>
      <w:r>
        <w:tab/>
      </w:r>
      <w:r w:rsidR="00BA5A54">
        <w:t xml:space="preserve">  </w:t>
      </w:r>
      <w:r>
        <w:t>for tax)</w:t>
      </w:r>
    </w:p>
    <w:p w14:paraId="7B74A15F" w14:textId="77777777" w:rsidR="00671648" w:rsidRDefault="00671648" w:rsidP="00671648">
      <w:pPr>
        <w:tabs>
          <w:tab w:val="left" w:pos="440"/>
          <w:tab w:val="left" w:pos="5040"/>
        </w:tabs>
      </w:pPr>
    </w:p>
    <w:p w14:paraId="445FA496" w14:textId="77777777" w:rsidR="00671648" w:rsidRDefault="00671648" w:rsidP="00671648">
      <w:pPr>
        <w:tabs>
          <w:tab w:val="left" w:pos="440"/>
          <w:tab w:val="left" w:pos="5040"/>
        </w:tabs>
        <w:ind w:left="435" w:hanging="435"/>
      </w:pPr>
      <w:r>
        <w:t>3.</w:t>
      </w:r>
      <w:r>
        <w:tab/>
        <w:t>Contract compliance</w:t>
      </w:r>
      <w:r>
        <w:tab/>
        <w:t>Maximize or minimize variables</w:t>
      </w:r>
    </w:p>
    <w:p w14:paraId="2439D7B3" w14:textId="77777777" w:rsidR="00671648" w:rsidRDefault="00671648" w:rsidP="00671648">
      <w:pPr>
        <w:tabs>
          <w:tab w:val="left" w:pos="440"/>
          <w:tab w:val="left" w:pos="5040"/>
        </w:tabs>
      </w:pPr>
      <w:r>
        <w:tab/>
      </w:r>
      <w:r>
        <w:tab/>
      </w:r>
      <w:r w:rsidR="00BA5A54">
        <w:t xml:space="preserve">  </w:t>
      </w:r>
      <w:r>
        <w:t>specified in contract.</w:t>
      </w:r>
    </w:p>
    <w:p w14:paraId="5A14B343" w14:textId="77777777" w:rsidR="00BA5A54" w:rsidRDefault="00671648" w:rsidP="00BA5A54">
      <w:pPr>
        <w:tabs>
          <w:tab w:val="left" w:pos="440"/>
          <w:tab w:val="left" w:pos="5040"/>
        </w:tabs>
        <w:ind w:left="5040"/>
      </w:pPr>
      <w:r>
        <w:t>Comply with policies required by</w:t>
      </w:r>
    </w:p>
    <w:p w14:paraId="672DE4E2" w14:textId="77777777" w:rsidR="00671648" w:rsidRDefault="00BA5A54" w:rsidP="00BA5A54">
      <w:pPr>
        <w:tabs>
          <w:tab w:val="left" w:pos="440"/>
          <w:tab w:val="left" w:pos="5040"/>
        </w:tabs>
        <w:ind w:left="5040"/>
      </w:pPr>
      <w:r>
        <w:t xml:space="preserve">  </w:t>
      </w:r>
      <w:r w:rsidR="00671648">
        <w:t>contracts.</w:t>
      </w:r>
    </w:p>
    <w:p w14:paraId="66B2A03E" w14:textId="77777777" w:rsidR="00671648" w:rsidRDefault="00671648" w:rsidP="00671648">
      <w:pPr>
        <w:tabs>
          <w:tab w:val="left" w:pos="440"/>
          <w:tab w:val="left" w:pos="5040"/>
        </w:tabs>
      </w:pPr>
    </w:p>
    <w:p w14:paraId="6DBA6B2C" w14:textId="77777777" w:rsidR="00671648" w:rsidRDefault="00671648" w:rsidP="00671648">
      <w:pPr>
        <w:tabs>
          <w:tab w:val="left" w:pos="440"/>
          <w:tab w:val="left" w:pos="5040"/>
        </w:tabs>
      </w:pPr>
      <w:r>
        <w:t>4.</w:t>
      </w:r>
      <w:r>
        <w:tab/>
        <w:t>Performance evaluation</w:t>
      </w:r>
      <w:r>
        <w:tab/>
        <w:t>Recognize revenue when effort</w:t>
      </w:r>
    </w:p>
    <w:p w14:paraId="23AE7278" w14:textId="77777777" w:rsidR="00671648" w:rsidRDefault="00671648" w:rsidP="00671648">
      <w:pPr>
        <w:tabs>
          <w:tab w:val="left" w:pos="440"/>
          <w:tab w:val="left" w:pos="5040"/>
        </w:tabs>
      </w:pPr>
      <w:r>
        <w:tab/>
      </w:r>
      <w:r>
        <w:tab/>
      </w:r>
      <w:r w:rsidR="00BA5A54">
        <w:t xml:space="preserve">  </w:t>
      </w:r>
      <w:r>
        <w:t>expended.</w:t>
      </w:r>
    </w:p>
    <w:p w14:paraId="766A2641" w14:textId="77777777" w:rsidR="00671648" w:rsidRDefault="00671648" w:rsidP="00671648">
      <w:pPr>
        <w:tabs>
          <w:tab w:val="left" w:pos="440"/>
          <w:tab w:val="left" w:pos="5040"/>
        </w:tabs>
      </w:pPr>
      <w:r>
        <w:tab/>
      </w:r>
      <w:r>
        <w:tab/>
        <w:t>Match expenses</w:t>
      </w:r>
      <w:r w:rsidR="00A52E57">
        <w:t xml:space="preserve"> to revenues</w:t>
      </w:r>
      <w:r>
        <w:t>.</w:t>
      </w:r>
    </w:p>
    <w:p w14:paraId="614A8273" w14:textId="77777777" w:rsidR="00671648" w:rsidRDefault="00671648" w:rsidP="00671648">
      <w:pPr>
        <w:tabs>
          <w:tab w:val="left" w:pos="440"/>
          <w:tab w:val="left" w:pos="5040"/>
        </w:tabs>
      </w:pPr>
    </w:p>
    <w:p w14:paraId="027B52EB" w14:textId="77777777" w:rsidR="00A52E57" w:rsidRDefault="00A52E57" w:rsidP="00671648">
      <w:pPr>
        <w:tabs>
          <w:tab w:val="left" w:pos="440"/>
          <w:tab w:val="left" w:pos="5040"/>
        </w:tabs>
        <w:ind w:left="435" w:hanging="435"/>
      </w:pPr>
      <w:r>
        <w:t>5.</w:t>
      </w:r>
      <w:r>
        <w:tab/>
        <w:t>Maximize income</w:t>
      </w:r>
      <w:r w:rsidR="00671648">
        <w:t xml:space="preserve"> (manager motivation</w:t>
      </w:r>
      <w:r w:rsidR="001109E7">
        <w:t>,</w:t>
      </w:r>
      <w:r w:rsidR="00671648">
        <w:tab/>
        <w:t>Maximize revenue or minimize</w:t>
      </w:r>
    </w:p>
    <w:p w14:paraId="5028AC61" w14:textId="77777777" w:rsidR="00671648" w:rsidRDefault="00A52E57" w:rsidP="00671648">
      <w:pPr>
        <w:tabs>
          <w:tab w:val="left" w:pos="440"/>
          <w:tab w:val="left" w:pos="5040"/>
        </w:tabs>
        <w:ind w:left="435" w:hanging="435"/>
      </w:pPr>
      <w:r>
        <w:tab/>
      </w:r>
      <w:r>
        <w:tab/>
      </w:r>
      <w:r w:rsidR="001109E7">
        <w:t xml:space="preserve">  possibly</w:t>
      </w:r>
      <w:r w:rsidR="00671648">
        <w:t xml:space="preserve"> related to bonus</w:t>
      </w:r>
      <w:r w:rsidR="001109E7">
        <w:t>)</w:t>
      </w:r>
      <w:r w:rsidR="00671648">
        <w:tab/>
      </w:r>
      <w:r w:rsidR="001109E7">
        <w:t xml:space="preserve">  </w:t>
      </w:r>
      <w:r w:rsidR="00671648">
        <w:t>expenses.</w:t>
      </w:r>
    </w:p>
    <w:p w14:paraId="4369E91F" w14:textId="77777777" w:rsidR="00671648" w:rsidRDefault="00671648" w:rsidP="00671648">
      <w:pPr>
        <w:tabs>
          <w:tab w:val="left" w:pos="440"/>
          <w:tab w:val="left" w:pos="5040"/>
        </w:tabs>
      </w:pPr>
    </w:p>
    <w:p w14:paraId="5121199C" w14:textId="77777777" w:rsidR="00A52E57" w:rsidRDefault="00671648" w:rsidP="00671648">
      <w:pPr>
        <w:tabs>
          <w:tab w:val="left" w:pos="440"/>
          <w:tab w:val="left" w:pos="5040"/>
        </w:tabs>
      </w:pPr>
      <w:r>
        <w:t xml:space="preserve">6. </w:t>
      </w:r>
      <w:r>
        <w:tab/>
        <w:t>Minimize income</w:t>
      </w:r>
      <w:r>
        <w:tab/>
        <w:t>Minimize revenue or maximize</w:t>
      </w:r>
    </w:p>
    <w:p w14:paraId="7DE05D38" w14:textId="77777777" w:rsidR="00A52E57" w:rsidRDefault="00A52E57" w:rsidP="00671648">
      <w:pPr>
        <w:tabs>
          <w:tab w:val="left" w:pos="440"/>
          <w:tab w:val="left" w:pos="5040"/>
        </w:tabs>
      </w:pPr>
      <w:r>
        <w:tab/>
      </w:r>
      <w:r>
        <w:tab/>
        <w:t xml:space="preserve">  expenses</w:t>
      </w:r>
    </w:p>
    <w:p w14:paraId="23652E99" w14:textId="77777777" w:rsidR="00671648" w:rsidRDefault="00671648" w:rsidP="00671648">
      <w:pPr>
        <w:tabs>
          <w:tab w:val="left" w:pos="440"/>
          <w:tab w:val="left" w:pos="5040"/>
        </w:tabs>
      </w:pPr>
    </w:p>
    <w:p w14:paraId="7BB963CB" w14:textId="77777777" w:rsidR="00671648" w:rsidRDefault="00671648" w:rsidP="00671648">
      <w:pPr>
        <w:tabs>
          <w:tab w:val="left" w:pos="440"/>
          <w:tab w:val="left" w:pos="5040"/>
        </w:tabs>
        <w:ind w:left="435" w:hanging="435"/>
      </w:pPr>
      <w:r>
        <w:t>7.</w:t>
      </w:r>
      <w:r>
        <w:tab/>
        <w:t>Adhere to a pattern (smoothing or a big bath)</w:t>
      </w:r>
      <w:r>
        <w:tab/>
        <w:t xml:space="preserve">Maximize expenses in a loss year </w:t>
      </w:r>
    </w:p>
    <w:p w14:paraId="12365624" w14:textId="77777777" w:rsidR="00671648" w:rsidRDefault="00671648" w:rsidP="00671648">
      <w:pPr>
        <w:tabs>
          <w:tab w:val="left" w:pos="440"/>
          <w:tab w:val="left" w:pos="5040"/>
        </w:tabs>
        <w:ind w:left="435" w:hanging="435"/>
      </w:pPr>
      <w:r>
        <w:tab/>
      </w:r>
      <w:r>
        <w:tab/>
      </w:r>
      <w:r>
        <w:tab/>
      </w:r>
      <w:r w:rsidR="00A52E57">
        <w:t xml:space="preserve">  </w:t>
      </w:r>
      <w:r>
        <w:t>(big bath).</w:t>
      </w:r>
    </w:p>
    <w:bookmarkEnd w:id="0"/>
    <w:p w14:paraId="49934C10" w14:textId="77777777" w:rsidR="00671648" w:rsidRDefault="00671648" w:rsidP="00671648">
      <w:pPr>
        <w:tabs>
          <w:tab w:val="left" w:pos="440"/>
          <w:tab w:val="left" w:pos="5040"/>
        </w:tabs>
      </w:pPr>
      <w:r>
        <w:lastRenderedPageBreak/>
        <w:tab/>
      </w:r>
      <w:r>
        <w:tab/>
        <w:t xml:space="preserve">Spread out revenues and expenses </w:t>
      </w:r>
      <w:r w:rsidR="00A52E57">
        <w:t>to</w:t>
      </w:r>
    </w:p>
    <w:p w14:paraId="32D9E95D" w14:textId="77777777" w:rsidR="00671648" w:rsidRDefault="00671648" w:rsidP="00671648">
      <w:pPr>
        <w:tabs>
          <w:tab w:val="left" w:pos="440"/>
          <w:tab w:val="left" w:pos="5040"/>
        </w:tabs>
      </w:pPr>
      <w:r>
        <w:tab/>
      </w:r>
      <w:r>
        <w:tab/>
      </w:r>
      <w:r w:rsidR="00A52E57">
        <w:t xml:space="preserve">  reduce profit variation</w:t>
      </w:r>
      <w:r>
        <w:t xml:space="preserve"> (smoothing).</w:t>
      </w:r>
    </w:p>
    <w:p w14:paraId="6CDA6FAC" w14:textId="77777777" w:rsidR="00671648" w:rsidRDefault="00671648" w:rsidP="00671648">
      <w:pPr>
        <w:tabs>
          <w:tab w:val="left" w:pos="440"/>
          <w:tab w:val="left" w:pos="5040"/>
        </w:tabs>
      </w:pPr>
    </w:p>
    <w:p w14:paraId="12FAFFFD" w14:textId="77777777" w:rsidR="00671648" w:rsidRDefault="00671648" w:rsidP="00671648">
      <w:pPr>
        <w:tabs>
          <w:tab w:val="left" w:pos="440"/>
          <w:tab w:val="left" w:pos="5040"/>
        </w:tabs>
      </w:pPr>
      <w:r>
        <w:t>8.</w:t>
      </w:r>
      <w:r>
        <w:tab/>
        <w:t>Minimum compliance</w:t>
      </w:r>
      <w:r>
        <w:tab/>
        <w:t>Minimize bookkeeping costs by</w:t>
      </w:r>
    </w:p>
    <w:p w14:paraId="423B52F8" w14:textId="77777777" w:rsidR="00671648" w:rsidRDefault="00671648" w:rsidP="00671648">
      <w:pPr>
        <w:tabs>
          <w:tab w:val="left" w:pos="440"/>
          <w:tab w:val="left" w:pos="5040"/>
        </w:tabs>
      </w:pPr>
      <w:r>
        <w:tab/>
      </w:r>
      <w:r>
        <w:tab/>
      </w:r>
      <w:r w:rsidR="00A52E57">
        <w:t xml:space="preserve">  </w:t>
      </w:r>
      <w:r>
        <w:t>minimizing disclosures.</w:t>
      </w:r>
    </w:p>
    <w:p w14:paraId="78EAC790" w14:textId="19E3B05C" w:rsidR="00D1218B" w:rsidRDefault="001109E7" w:rsidP="00D1218B">
      <w:pPr>
        <w:spacing w:before="100" w:beforeAutospacing="1" w:after="100" w:afterAutospacing="1"/>
      </w:pPr>
      <w:r>
        <w:rPr>
          <w:b/>
        </w:rPr>
        <w:br w:type="page"/>
      </w:r>
      <w:r w:rsidR="00D1218B">
        <w:rPr>
          <w:b/>
        </w:rPr>
        <w:lastRenderedPageBreak/>
        <w:t xml:space="preserve">Assignment 1-10 </w:t>
      </w:r>
      <w:r w:rsidR="00A83BAC" w:rsidRPr="00A83BAC">
        <w:t>(LO1.</w:t>
      </w:r>
      <w:r w:rsidR="002655C5">
        <w:t>4</w:t>
      </w:r>
      <w:r w:rsidR="00A83BAC" w:rsidRPr="00A83BA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09"/>
        <w:gridCol w:w="2694"/>
        <w:gridCol w:w="2652"/>
      </w:tblGrid>
      <w:tr w:rsidR="00A53C07" w14:paraId="5EC2387F" w14:textId="77777777" w:rsidTr="003C65EC">
        <w:tc>
          <w:tcPr>
            <w:tcW w:w="1101" w:type="dxa"/>
          </w:tcPr>
          <w:p w14:paraId="61F6C67D" w14:textId="77777777" w:rsidR="00A53C07" w:rsidRDefault="00A53C07" w:rsidP="00DF74CF">
            <w:pPr>
              <w:spacing w:before="100" w:beforeAutospacing="1" w:after="100" w:afterAutospacing="1"/>
            </w:pPr>
            <w:r>
              <w:t>Scenario</w:t>
            </w:r>
          </w:p>
        </w:tc>
        <w:tc>
          <w:tcPr>
            <w:tcW w:w="2409" w:type="dxa"/>
            <w:shd w:val="clear" w:color="auto" w:fill="auto"/>
          </w:tcPr>
          <w:p w14:paraId="532987E5" w14:textId="77777777" w:rsidR="00A53C07" w:rsidRDefault="00A53C07" w:rsidP="00DF74CF">
            <w:pPr>
              <w:spacing w:before="100" w:beforeAutospacing="1" w:after="100" w:afterAutospacing="1"/>
            </w:pPr>
            <w:r>
              <w:t>User 1</w:t>
            </w:r>
          </w:p>
        </w:tc>
        <w:tc>
          <w:tcPr>
            <w:tcW w:w="2694" w:type="dxa"/>
            <w:shd w:val="clear" w:color="auto" w:fill="auto"/>
          </w:tcPr>
          <w:p w14:paraId="7B4F37E6" w14:textId="77777777" w:rsidR="00A53C07" w:rsidRDefault="00A53C07" w:rsidP="00DF74CF">
            <w:pPr>
              <w:spacing w:before="100" w:beforeAutospacing="1" w:after="100" w:afterAutospacing="1"/>
            </w:pPr>
            <w:r>
              <w:t>User 2</w:t>
            </w:r>
          </w:p>
        </w:tc>
        <w:tc>
          <w:tcPr>
            <w:tcW w:w="2652" w:type="dxa"/>
            <w:shd w:val="clear" w:color="auto" w:fill="auto"/>
          </w:tcPr>
          <w:p w14:paraId="29207F59" w14:textId="77777777" w:rsidR="00A53C07" w:rsidRDefault="00A53C07" w:rsidP="00DF74CF">
            <w:pPr>
              <w:spacing w:before="100" w:beforeAutospacing="1" w:after="100" w:afterAutospacing="1"/>
            </w:pPr>
            <w:r>
              <w:t>Conflicts</w:t>
            </w:r>
          </w:p>
        </w:tc>
      </w:tr>
      <w:tr w:rsidR="00A53C07" w14:paraId="520A3A0C" w14:textId="77777777" w:rsidTr="003C65EC">
        <w:tc>
          <w:tcPr>
            <w:tcW w:w="1101" w:type="dxa"/>
          </w:tcPr>
          <w:p w14:paraId="5BFE3EB2" w14:textId="77777777" w:rsidR="00A53C07" w:rsidRDefault="00A53C07" w:rsidP="00DF74CF">
            <w:pPr>
              <w:spacing w:before="100" w:beforeAutospacing="1" w:after="100" w:afterAutospacing="1"/>
            </w:pPr>
            <w:r>
              <w:t>1</w:t>
            </w:r>
          </w:p>
        </w:tc>
        <w:tc>
          <w:tcPr>
            <w:tcW w:w="2409" w:type="dxa"/>
            <w:shd w:val="clear" w:color="auto" w:fill="auto"/>
          </w:tcPr>
          <w:p w14:paraId="43B81558" w14:textId="77777777" w:rsidR="00A53C07" w:rsidRDefault="00A53C07" w:rsidP="00DF74CF">
            <w:pPr>
              <w:spacing w:before="100" w:beforeAutospacing="1" w:after="100" w:afterAutospacing="1"/>
            </w:pPr>
            <w:r>
              <w:t xml:space="preserve">Bank –Ensure repayment of principal and interest </w:t>
            </w:r>
          </w:p>
        </w:tc>
        <w:tc>
          <w:tcPr>
            <w:tcW w:w="2694" w:type="dxa"/>
            <w:shd w:val="clear" w:color="auto" w:fill="auto"/>
          </w:tcPr>
          <w:p w14:paraId="0817B347" w14:textId="77777777" w:rsidR="00A53C07" w:rsidRDefault="00A53C07" w:rsidP="00DF74CF">
            <w:pPr>
              <w:spacing w:before="100" w:beforeAutospacing="1" w:after="100" w:afterAutospacing="1"/>
            </w:pPr>
            <w:r>
              <w:t>Management of a public company - Performance evaluation is likely evaluated based on share price, and therefore income smoothing may be an objective. Earnings maximization to ensure bonus payment.</w:t>
            </w:r>
          </w:p>
        </w:tc>
        <w:tc>
          <w:tcPr>
            <w:tcW w:w="2652" w:type="dxa"/>
            <w:shd w:val="clear" w:color="auto" w:fill="auto"/>
          </w:tcPr>
          <w:p w14:paraId="10456A43" w14:textId="77777777" w:rsidR="00A53C07" w:rsidRDefault="00A53C07" w:rsidP="00DF74CF">
            <w:pPr>
              <w:spacing w:before="100" w:beforeAutospacing="1" w:after="100" w:afterAutospacing="1"/>
            </w:pPr>
            <w:r>
              <w:t xml:space="preserve">Bank looking for revenues and expenses to be as close to the related cash flows where as management wants to likely both smooth and maximize income. </w:t>
            </w:r>
          </w:p>
        </w:tc>
      </w:tr>
      <w:tr w:rsidR="00A53C07" w14:paraId="310447C4" w14:textId="77777777" w:rsidTr="003C65EC">
        <w:tc>
          <w:tcPr>
            <w:tcW w:w="1101" w:type="dxa"/>
          </w:tcPr>
          <w:p w14:paraId="6D61B08E" w14:textId="77777777" w:rsidR="00A53C07" w:rsidRDefault="00A53C07" w:rsidP="00DF74CF">
            <w:pPr>
              <w:spacing w:before="100" w:beforeAutospacing="1" w:after="100" w:afterAutospacing="1"/>
            </w:pPr>
            <w:r>
              <w:t>2</w:t>
            </w:r>
          </w:p>
        </w:tc>
        <w:tc>
          <w:tcPr>
            <w:tcW w:w="2409" w:type="dxa"/>
            <w:shd w:val="clear" w:color="auto" w:fill="auto"/>
          </w:tcPr>
          <w:p w14:paraId="57BF1B64" w14:textId="77777777" w:rsidR="00A53C07" w:rsidRDefault="00A53C07" w:rsidP="00DF74CF">
            <w:pPr>
              <w:spacing w:before="100" w:beforeAutospacing="1" w:after="100" w:afterAutospacing="1"/>
            </w:pPr>
            <w:r>
              <w:t xml:space="preserve">Bank –Ensure repayment of principal and interest </w:t>
            </w:r>
          </w:p>
        </w:tc>
        <w:tc>
          <w:tcPr>
            <w:tcW w:w="2694" w:type="dxa"/>
            <w:shd w:val="clear" w:color="auto" w:fill="auto"/>
          </w:tcPr>
          <w:p w14:paraId="598AA311" w14:textId="77777777" w:rsidR="00A53C07" w:rsidRDefault="00A53C07" w:rsidP="00DF74CF">
            <w:pPr>
              <w:spacing w:before="100" w:beforeAutospacing="1" w:after="100" w:afterAutospacing="1"/>
            </w:pPr>
            <w:r>
              <w:t xml:space="preserve">Owners of a private company that are facing cash flow issues – Minimize taxes due to cash flow issues, maximize income to ensure loan qualification </w:t>
            </w:r>
          </w:p>
          <w:p w14:paraId="369EB7EA" w14:textId="77777777" w:rsidR="00A53C07" w:rsidRDefault="00A53C07" w:rsidP="00DF74CF">
            <w:pPr>
              <w:spacing w:before="100" w:beforeAutospacing="1" w:after="100" w:afterAutospacing="1"/>
            </w:pPr>
          </w:p>
        </w:tc>
        <w:tc>
          <w:tcPr>
            <w:tcW w:w="2652" w:type="dxa"/>
            <w:shd w:val="clear" w:color="auto" w:fill="auto"/>
          </w:tcPr>
          <w:p w14:paraId="020265B3" w14:textId="77777777" w:rsidR="00A53C07" w:rsidRDefault="00A53C07" w:rsidP="00DF74CF">
            <w:pPr>
              <w:spacing w:before="100" w:beforeAutospacing="1" w:after="100" w:afterAutospacing="1"/>
            </w:pPr>
            <w:r>
              <w:t xml:space="preserve">Bank looking for revenues and expenses to be as close to the related cash flows whereas the owners are currently cash strapped and would like to both 1) qualify for the loan so would want to ensure financial statements are attractive to the bank and 2) also likely looking to minimize income tax to help with cash flow issues. </w:t>
            </w:r>
          </w:p>
        </w:tc>
      </w:tr>
      <w:tr w:rsidR="00A53C07" w14:paraId="24E6F861" w14:textId="77777777" w:rsidTr="003C65EC">
        <w:tc>
          <w:tcPr>
            <w:tcW w:w="1101" w:type="dxa"/>
          </w:tcPr>
          <w:p w14:paraId="0C41E57A" w14:textId="77777777" w:rsidR="00A53C07" w:rsidRDefault="00A53C07" w:rsidP="00DF74CF">
            <w:pPr>
              <w:spacing w:before="100" w:beforeAutospacing="1" w:after="100" w:afterAutospacing="1"/>
            </w:pPr>
            <w:r>
              <w:t>3</w:t>
            </w:r>
          </w:p>
        </w:tc>
        <w:tc>
          <w:tcPr>
            <w:tcW w:w="2409" w:type="dxa"/>
            <w:shd w:val="clear" w:color="auto" w:fill="auto"/>
          </w:tcPr>
          <w:p w14:paraId="570D376F" w14:textId="77777777" w:rsidR="00A53C07" w:rsidRDefault="00A53C07" w:rsidP="00DF74CF">
            <w:pPr>
              <w:spacing w:before="100" w:beforeAutospacing="1" w:after="100" w:afterAutospacing="1"/>
            </w:pPr>
            <w:r>
              <w:t xml:space="preserve">Union – Maximize earnings to allow for more bargaining power </w:t>
            </w:r>
          </w:p>
        </w:tc>
        <w:tc>
          <w:tcPr>
            <w:tcW w:w="2694" w:type="dxa"/>
            <w:shd w:val="clear" w:color="auto" w:fill="auto"/>
          </w:tcPr>
          <w:p w14:paraId="31148D6B" w14:textId="77777777" w:rsidR="00A53C07" w:rsidRDefault="00A53C07" w:rsidP="00DF74CF">
            <w:pPr>
              <w:spacing w:before="100" w:beforeAutospacing="1" w:after="100" w:afterAutospacing="1"/>
            </w:pPr>
            <w:r>
              <w:t xml:space="preserve">Management – minimize income as evaluated based on overall reduction of operating expenses. </w:t>
            </w:r>
          </w:p>
        </w:tc>
        <w:tc>
          <w:tcPr>
            <w:tcW w:w="2652" w:type="dxa"/>
            <w:shd w:val="clear" w:color="auto" w:fill="auto"/>
          </w:tcPr>
          <w:p w14:paraId="7C821184" w14:textId="77777777" w:rsidR="00A53C07" w:rsidRDefault="00A53C07" w:rsidP="00DF74CF">
            <w:pPr>
              <w:spacing w:before="100" w:beforeAutospacing="1" w:after="100" w:afterAutospacing="1"/>
            </w:pPr>
            <w:r>
              <w:t xml:space="preserve">Union is looking to maximize income in order to have strength in collective bargaining (i.e. increase wages / benefits etc).  This conflicts with management as they are evaluated based on a reduction of expenses and therefore will be trying to minimize income and specifically expenses relating to wages / benefits.  </w:t>
            </w:r>
          </w:p>
        </w:tc>
      </w:tr>
    </w:tbl>
    <w:p w14:paraId="4BD36BCB" w14:textId="77777777" w:rsidR="00D1218B" w:rsidRDefault="00D1218B" w:rsidP="001757D0">
      <w:pPr>
        <w:spacing w:line="480" w:lineRule="auto"/>
        <w:rPr>
          <w:b/>
        </w:rPr>
      </w:pPr>
    </w:p>
    <w:p w14:paraId="08DB1A53" w14:textId="2E8815C6" w:rsidR="00BF3984" w:rsidRPr="001757D0" w:rsidRDefault="00D1218B" w:rsidP="001757D0">
      <w:pPr>
        <w:spacing w:line="480" w:lineRule="auto"/>
        <w:rPr>
          <w:b/>
        </w:rPr>
      </w:pPr>
      <w:r>
        <w:rPr>
          <w:b/>
        </w:rPr>
        <w:br w:type="page"/>
      </w:r>
      <w:r w:rsidR="00BF3984" w:rsidRPr="001757D0">
        <w:rPr>
          <w:b/>
        </w:rPr>
        <w:lastRenderedPageBreak/>
        <w:t>Assignment 1-</w:t>
      </w:r>
      <w:r w:rsidR="00C258E0">
        <w:rPr>
          <w:b/>
        </w:rPr>
        <w:t>1</w:t>
      </w:r>
      <w:r>
        <w:rPr>
          <w:b/>
        </w:rPr>
        <w:t>1</w:t>
      </w:r>
      <w:r w:rsidR="003C65EC">
        <w:rPr>
          <w:b/>
        </w:rPr>
        <w:t xml:space="preserve"> </w:t>
      </w:r>
      <w:r w:rsidR="00A83BAC" w:rsidRPr="00A83BAC">
        <w:rPr>
          <w:b/>
          <w:szCs w:val="24"/>
        </w:rPr>
        <w:t>(</w:t>
      </w:r>
      <w:r w:rsidR="00A83BAC" w:rsidRPr="00A83BAC">
        <w:t>LO1.2, LO1.3, LO1.4)</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988"/>
        <w:gridCol w:w="2682"/>
        <w:gridCol w:w="2610"/>
      </w:tblGrid>
      <w:tr w:rsidR="00FC49E2" w14:paraId="34552DB1" w14:textId="77777777" w:rsidTr="007248E4">
        <w:tc>
          <w:tcPr>
            <w:tcW w:w="738" w:type="dxa"/>
            <w:vAlign w:val="center"/>
          </w:tcPr>
          <w:p w14:paraId="588D91E1" w14:textId="77777777" w:rsidR="00FC49E2" w:rsidRPr="00C92C41" w:rsidRDefault="00FC49E2" w:rsidP="00C92C41">
            <w:pPr>
              <w:tabs>
                <w:tab w:val="left" w:pos="440"/>
              </w:tabs>
              <w:jc w:val="center"/>
              <w:rPr>
                <w:b/>
              </w:rPr>
            </w:pPr>
            <w:r w:rsidRPr="00C92C41">
              <w:rPr>
                <w:b/>
              </w:rPr>
              <w:t>Issue</w:t>
            </w:r>
          </w:p>
        </w:tc>
        <w:tc>
          <w:tcPr>
            <w:tcW w:w="2988" w:type="dxa"/>
            <w:vAlign w:val="center"/>
          </w:tcPr>
          <w:p w14:paraId="4A2259A0" w14:textId="77777777" w:rsidR="00FC49E2" w:rsidRPr="00C92C41" w:rsidRDefault="00FC49E2" w:rsidP="00C92C41">
            <w:pPr>
              <w:tabs>
                <w:tab w:val="left" w:pos="440"/>
              </w:tabs>
              <w:jc w:val="center"/>
              <w:rPr>
                <w:b/>
              </w:rPr>
            </w:pPr>
            <w:r w:rsidRPr="00C92C41">
              <w:rPr>
                <w:b/>
              </w:rPr>
              <w:t>Earnings maximization</w:t>
            </w:r>
          </w:p>
        </w:tc>
        <w:tc>
          <w:tcPr>
            <w:tcW w:w="2682" w:type="dxa"/>
            <w:vAlign w:val="center"/>
          </w:tcPr>
          <w:p w14:paraId="22D536C1" w14:textId="77777777" w:rsidR="00FC49E2" w:rsidRPr="00C92C41" w:rsidRDefault="00FC49E2" w:rsidP="00C92C41">
            <w:pPr>
              <w:tabs>
                <w:tab w:val="left" w:pos="440"/>
              </w:tabs>
              <w:jc w:val="center"/>
              <w:rPr>
                <w:b/>
              </w:rPr>
            </w:pPr>
            <w:r w:rsidRPr="00C92C41">
              <w:rPr>
                <w:b/>
              </w:rPr>
              <w:t>Cash flow prediction</w:t>
            </w:r>
          </w:p>
        </w:tc>
        <w:tc>
          <w:tcPr>
            <w:tcW w:w="2610" w:type="dxa"/>
            <w:vAlign w:val="center"/>
          </w:tcPr>
          <w:p w14:paraId="68A2459B" w14:textId="77777777" w:rsidR="00FC49E2" w:rsidRPr="00C92C41" w:rsidRDefault="00FC49E2" w:rsidP="00C92C41">
            <w:pPr>
              <w:tabs>
                <w:tab w:val="left" w:pos="440"/>
              </w:tabs>
              <w:jc w:val="center"/>
              <w:rPr>
                <w:b/>
              </w:rPr>
            </w:pPr>
            <w:r w:rsidRPr="00C92C41">
              <w:rPr>
                <w:b/>
              </w:rPr>
              <w:t>Earnings minimization</w:t>
            </w:r>
          </w:p>
        </w:tc>
      </w:tr>
      <w:tr w:rsidR="00FC49E2" w14:paraId="7AD50C84" w14:textId="77777777" w:rsidTr="007248E4">
        <w:tc>
          <w:tcPr>
            <w:tcW w:w="738" w:type="dxa"/>
          </w:tcPr>
          <w:p w14:paraId="42C6A5BC" w14:textId="77777777" w:rsidR="00FC49E2" w:rsidRDefault="00FC49E2" w:rsidP="00C92C41">
            <w:pPr>
              <w:tabs>
                <w:tab w:val="left" w:pos="440"/>
              </w:tabs>
              <w:jc w:val="center"/>
            </w:pPr>
            <w:r>
              <w:t>1</w:t>
            </w:r>
          </w:p>
        </w:tc>
        <w:tc>
          <w:tcPr>
            <w:tcW w:w="2988" w:type="dxa"/>
          </w:tcPr>
          <w:p w14:paraId="59D0ED3E" w14:textId="77777777" w:rsidR="00FC49E2" w:rsidRDefault="00C20C22" w:rsidP="00C92C41">
            <w:pPr>
              <w:tabs>
                <w:tab w:val="left" w:pos="440"/>
              </w:tabs>
              <w:jc w:val="left"/>
            </w:pPr>
            <w:r>
              <w:t>Average cost</w:t>
            </w:r>
            <w:r w:rsidR="00BD53CA" w:rsidRPr="00C92C41">
              <w:rPr>
                <w:szCs w:val="24"/>
                <w:vertAlign w:val="superscript"/>
              </w:rPr>
              <w:t>1</w:t>
            </w:r>
            <w:r w:rsidR="00BD6AD8">
              <w:t xml:space="preserve"> with LCM</w:t>
            </w:r>
          </w:p>
        </w:tc>
        <w:tc>
          <w:tcPr>
            <w:tcW w:w="2682" w:type="dxa"/>
          </w:tcPr>
          <w:p w14:paraId="3F2A5C75" w14:textId="77777777" w:rsidR="00FC49E2" w:rsidRDefault="00A46C70" w:rsidP="00C92C41">
            <w:pPr>
              <w:tabs>
                <w:tab w:val="left" w:pos="440"/>
              </w:tabs>
              <w:jc w:val="left"/>
            </w:pPr>
            <w:r>
              <w:t>FIFO with LCM</w:t>
            </w:r>
          </w:p>
        </w:tc>
        <w:tc>
          <w:tcPr>
            <w:tcW w:w="2610" w:type="dxa"/>
          </w:tcPr>
          <w:p w14:paraId="5729D4C9" w14:textId="77777777" w:rsidR="00FC49E2" w:rsidRDefault="00A46C70" w:rsidP="00C92C41">
            <w:pPr>
              <w:tabs>
                <w:tab w:val="left" w:pos="440"/>
              </w:tabs>
              <w:jc w:val="left"/>
            </w:pPr>
            <w:r>
              <w:t>FIFO</w:t>
            </w:r>
            <w:r w:rsidRPr="00C92C41">
              <w:rPr>
                <w:szCs w:val="24"/>
                <w:vertAlign w:val="superscript"/>
              </w:rPr>
              <w:t>1</w:t>
            </w:r>
            <w:r>
              <w:t xml:space="preserve"> with LCM </w:t>
            </w:r>
          </w:p>
        </w:tc>
      </w:tr>
      <w:tr w:rsidR="00FC49E2" w14:paraId="6AA96D87" w14:textId="77777777" w:rsidTr="007248E4">
        <w:tc>
          <w:tcPr>
            <w:tcW w:w="738" w:type="dxa"/>
          </w:tcPr>
          <w:p w14:paraId="5A4E1A90" w14:textId="77777777" w:rsidR="00FC49E2" w:rsidRDefault="00FC49E2" w:rsidP="00C92C41">
            <w:pPr>
              <w:tabs>
                <w:tab w:val="left" w:pos="440"/>
              </w:tabs>
              <w:jc w:val="center"/>
            </w:pPr>
            <w:r>
              <w:t>2</w:t>
            </w:r>
          </w:p>
        </w:tc>
        <w:tc>
          <w:tcPr>
            <w:tcW w:w="2988" w:type="dxa"/>
          </w:tcPr>
          <w:p w14:paraId="015DF4D6" w14:textId="77777777" w:rsidR="00DB6A14" w:rsidRDefault="00CC7F4A" w:rsidP="00C92C41">
            <w:pPr>
              <w:tabs>
                <w:tab w:val="left" w:pos="440"/>
              </w:tabs>
              <w:jc w:val="left"/>
            </w:pPr>
            <w:r>
              <w:t>Capitalize if meets development criteria</w:t>
            </w:r>
            <w:r>
              <w:rPr>
                <w:vertAlign w:val="superscript"/>
              </w:rPr>
              <w:t>2</w:t>
            </w:r>
            <w:r>
              <w:t xml:space="preserve"> and</w:t>
            </w:r>
          </w:p>
          <w:p w14:paraId="0C866626" w14:textId="77777777" w:rsidR="00FC49E2" w:rsidRDefault="00C651B2" w:rsidP="00C92C41">
            <w:pPr>
              <w:tabs>
                <w:tab w:val="left" w:pos="440"/>
              </w:tabs>
              <w:jc w:val="left"/>
            </w:pPr>
            <w:r>
              <w:t>S.L. amortization</w:t>
            </w:r>
          </w:p>
        </w:tc>
        <w:tc>
          <w:tcPr>
            <w:tcW w:w="2682" w:type="dxa"/>
          </w:tcPr>
          <w:p w14:paraId="1B098052" w14:textId="77777777" w:rsidR="00FC49E2" w:rsidRDefault="00CC7F4A" w:rsidP="007248E4">
            <w:pPr>
              <w:tabs>
                <w:tab w:val="left" w:pos="440"/>
              </w:tabs>
              <w:jc w:val="left"/>
            </w:pPr>
            <w:r>
              <w:t>Expense, or if policy to capitalize</w:t>
            </w:r>
            <w:r w:rsidR="00A53C07">
              <w:t>,</w:t>
            </w:r>
            <w:r>
              <w:t xml:space="preserve"> then a</w:t>
            </w:r>
            <w:r w:rsidR="00C651B2">
              <w:t>mortize by unit-of-sale</w:t>
            </w:r>
          </w:p>
        </w:tc>
        <w:tc>
          <w:tcPr>
            <w:tcW w:w="2610" w:type="dxa"/>
          </w:tcPr>
          <w:p w14:paraId="568C97D3" w14:textId="77777777" w:rsidR="00FC49E2" w:rsidRDefault="00CC7F4A" w:rsidP="007248E4">
            <w:pPr>
              <w:tabs>
                <w:tab w:val="left" w:pos="440"/>
              </w:tabs>
              <w:jc w:val="left"/>
            </w:pPr>
            <w:r>
              <w:t>Expense or if policy to capitalized then amortize using acceler</w:t>
            </w:r>
            <w:r w:rsidR="00C651B2">
              <w:t xml:space="preserve">ated </w:t>
            </w:r>
            <w:r w:rsidR="002A205A">
              <w:t>deprec</w:t>
            </w:r>
            <w:r w:rsidR="00B9161F">
              <w:t>.</w:t>
            </w:r>
          </w:p>
        </w:tc>
      </w:tr>
      <w:tr w:rsidR="00FC49E2" w14:paraId="5C8486FC" w14:textId="77777777" w:rsidTr="007248E4">
        <w:tc>
          <w:tcPr>
            <w:tcW w:w="738" w:type="dxa"/>
          </w:tcPr>
          <w:p w14:paraId="00DBBD8C" w14:textId="77777777" w:rsidR="00FC49E2" w:rsidRDefault="00FC49E2" w:rsidP="00C92C41">
            <w:pPr>
              <w:tabs>
                <w:tab w:val="left" w:pos="440"/>
              </w:tabs>
              <w:jc w:val="center"/>
            </w:pPr>
            <w:r>
              <w:t>3</w:t>
            </w:r>
          </w:p>
        </w:tc>
        <w:tc>
          <w:tcPr>
            <w:tcW w:w="2988" w:type="dxa"/>
          </w:tcPr>
          <w:p w14:paraId="09034DBF" w14:textId="77777777" w:rsidR="002A7897" w:rsidRPr="007248E4" w:rsidRDefault="00CC7F4A" w:rsidP="007248E4">
            <w:pPr>
              <w:tabs>
                <w:tab w:val="left" w:pos="440"/>
              </w:tabs>
              <w:jc w:val="left"/>
            </w:pPr>
            <w:r>
              <w:t>S</w:t>
            </w:r>
            <w:r w:rsidR="002A7897">
              <w:t>traight line</w:t>
            </w:r>
            <w:r>
              <w:rPr>
                <w:i/>
              </w:rPr>
              <w:t xml:space="preserve"> </w:t>
            </w:r>
            <w:r w:rsidRPr="007248E4">
              <w:t>depreciation</w:t>
            </w:r>
          </w:p>
        </w:tc>
        <w:tc>
          <w:tcPr>
            <w:tcW w:w="2682" w:type="dxa"/>
          </w:tcPr>
          <w:p w14:paraId="5ECA6078" w14:textId="77777777" w:rsidR="00FC49E2" w:rsidRDefault="004708D9" w:rsidP="00C92C41">
            <w:pPr>
              <w:tabs>
                <w:tab w:val="left" w:pos="440"/>
              </w:tabs>
              <w:jc w:val="left"/>
            </w:pPr>
            <w:r>
              <w:t>SL or accelerated</w:t>
            </w:r>
            <w:r w:rsidR="00CC7F4A">
              <w:t xml:space="preserve"> </w:t>
            </w:r>
            <w:r w:rsidR="00CC7F4A" w:rsidRPr="001008D0">
              <w:t>depreciation</w:t>
            </w:r>
          </w:p>
          <w:p w14:paraId="14E3B6E6" w14:textId="77777777" w:rsidR="004708D9" w:rsidRDefault="004708D9" w:rsidP="00C92C41">
            <w:pPr>
              <w:tabs>
                <w:tab w:val="left" w:pos="440"/>
              </w:tabs>
              <w:jc w:val="left"/>
            </w:pPr>
          </w:p>
        </w:tc>
        <w:tc>
          <w:tcPr>
            <w:tcW w:w="2610" w:type="dxa"/>
          </w:tcPr>
          <w:p w14:paraId="7EEC4282" w14:textId="77777777" w:rsidR="00FC49E2" w:rsidRDefault="002A7897" w:rsidP="00C92C41">
            <w:pPr>
              <w:tabs>
                <w:tab w:val="left" w:pos="440"/>
              </w:tabs>
              <w:jc w:val="left"/>
            </w:pPr>
            <w:r>
              <w:t>Accelerated</w:t>
            </w:r>
            <w:r w:rsidR="002A205A">
              <w:t xml:space="preserve"> </w:t>
            </w:r>
          </w:p>
          <w:p w14:paraId="48C074D4" w14:textId="77777777" w:rsidR="00CC7F4A" w:rsidRDefault="00CC7F4A" w:rsidP="00C92C41">
            <w:pPr>
              <w:tabs>
                <w:tab w:val="left" w:pos="440"/>
              </w:tabs>
              <w:jc w:val="left"/>
            </w:pPr>
            <w:r w:rsidRPr="001008D0">
              <w:t>depreciation</w:t>
            </w:r>
          </w:p>
          <w:p w14:paraId="1A4ECFBF" w14:textId="77777777" w:rsidR="002A7897" w:rsidRDefault="002A7897" w:rsidP="00C92C41">
            <w:pPr>
              <w:tabs>
                <w:tab w:val="left" w:pos="440"/>
              </w:tabs>
              <w:jc w:val="left"/>
            </w:pPr>
          </w:p>
        </w:tc>
      </w:tr>
      <w:tr w:rsidR="00FC49E2" w14:paraId="2D90FA12" w14:textId="77777777" w:rsidTr="007248E4">
        <w:tc>
          <w:tcPr>
            <w:tcW w:w="738" w:type="dxa"/>
          </w:tcPr>
          <w:p w14:paraId="633B5F04" w14:textId="77777777" w:rsidR="00FC49E2" w:rsidRDefault="00FC49E2" w:rsidP="00C92C41">
            <w:pPr>
              <w:tabs>
                <w:tab w:val="left" w:pos="440"/>
              </w:tabs>
              <w:jc w:val="center"/>
            </w:pPr>
            <w:r>
              <w:t>4</w:t>
            </w:r>
          </w:p>
        </w:tc>
        <w:tc>
          <w:tcPr>
            <w:tcW w:w="2988" w:type="dxa"/>
          </w:tcPr>
          <w:p w14:paraId="77B904C0" w14:textId="77777777" w:rsidR="00FC49E2" w:rsidRDefault="00CA4769" w:rsidP="00C92C41">
            <w:pPr>
              <w:tabs>
                <w:tab w:val="left" w:pos="440"/>
              </w:tabs>
              <w:jc w:val="left"/>
            </w:pPr>
            <w:r>
              <w:t>Defer and amortize</w:t>
            </w:r>
            <w:r w:rsidR="00B9161F">
              <w:rPr>
                <w:szCs w:val="24"/>
                <w:vertAlign w:val="superscript"/>
              </w:rPr>
              <w:t>3</w:t>
            </w:r>
          </w:p>
        </w:tc>
        <w:tc>
          <w:tcPr>
            <w:tcW w:w="2682" w:type="dxa"/>
          </w:tcPr>
          <w:p w14:paraId="0FF833F6" w14:textId="77777777" w:rsidR="00FC49E2" w:rsidRDefault="004708D9" w:rsidP="00C92C41">
            <w:pPr>
              <w:tabs>
                <w:tab w:val="left" w:pos="440"/>
              </w:tabs>
              <w:jc w:val="left"/>
            </w:pPr>
            <w:r>
              <w:t>Expense</w:t>
            </w:r>
          </w:p>
        </w:tc>
        <w:tc>
          <w:tcPr>
            <w:tcW w:w="2610" w:type="dxa"/>
          </w:tcPr>
          <w:p w14:paraId="3FEE21BC" w14:textId="77777777" w:rsidR="00FC49E2" w:rsidRDefault="00CA4769" w:rsidP="00C92C41">
            <w:pPr>
              <w:tabs>
                <w:tab w:val="left" w:pos="440"/>
              </w:tabs>
              <w:jc w:val="left"/>
            </w:pPr>
            <w:r>
              <w:t>Expense</w:t>
            </w:r>
          </w:p>
        </w:tc>
      </w:tr>
      <w:tr w:rsidR="00FC49E2" w14:paraId="575DF0BA" w14:textId="77777777" w:rsidTr="007248E4">
        <w:tc>
          <w:tcPr>
            <w:tcW w:w="738" w:type="dxa"/>
          </w:tcPr>
          <w:p w14:paraId="2DD65709" w14:textId="77777777" w:rsidR="00FC49E2" w:rsidRDefault="00FC49E2" w:rsidP="00C92C41">
            <w:pPr>
              <w:tabs>
                <w:tab w:val="left" w:pos="440"/>
              </w:tabs>
              <w:jc w:val="center"/>
            </w:pPr>
          </w:p>
        </w:tc>
        <w:tc>
          <w:tcPr>
            <w:tcW w:w="2988" w:type="dxa"/>
          </w:tcPr>
          <w:p w14:paraId="12D5CD96" w14:textId="77777777" w:rsidR="00CA4769" w:rsidRDefault="00CA4769" w:rsidP="00BA26F7">
            <w:pPr>
              <w:tabs>
                <w:tab w:val="left" w:pos="225"/>
              </w:tabs>
              <w:jc w:val="left"/>
            </w:pPr>
          </w:p>
        </w:tc>
        <w:tc>
          <w:tcPr>
            <w:tcW w:w="2682" w:type="dxa"/>
          </w:tcPr>
          <w:p w14:paraId="2F3CBAC0" w14:textId="77777777" w:rsidR="00CA4769" w:rsidRDefault="00CA4769" w:rsidP="00C92C41">
            <w:pPr>
              <w:tabs>
                <w:tab w:val="left" w:pos="440"/>
              </w:tabs>
              <w:jc w:val="left"/>
            </w:pPr>
          </w:p>
        </w:tc>
        <w:tc>
          <w:tcPr>
            <w:tcW w:w="2610" w:type="dxa"/>
          </w:tcPr>
          <w:p w14:paraId="47D527A0" w14:textId="77777777" w:rsidR="00CA4769" w:rsidRDefault="00CA4769" w:rsidP="00C92C41">
            <w:pPr>
              <w:tabs>
                <w:tab w:val="left" w:pos="297"/>
              </w:tabs>
              <w:jc w:val="left"/>
            </w:pPr>
          </w:p>
        </w:tc>
      </w:tr>
    </w:tbl>
    <w:p w14:paraId="49E8F3F9" w14:textId="77777777" w:rsidR="00BF3984" w:rsidRDefault="00BF3984">
      <w:pPr>
        <w:tabs>
          <w:tab w:val="left" w:pos="440"/>
        </w:tabs>
        <w:ind w:left="440" w:hanging="440"/>
      </w:pPr>
    </w:p>
    <w:p w14:paraId="08E48096" w14:textId="77777777" w:rsidR="00A46C70" w:rsidRDefault="00BD6AD8" w:rsidP="00BD6AD8">
      <w:pPr>
        <w:ind w:left="440" w:hanging="260"/>
      </w:pPr>
      <w:r w:rsidRPr="00BD6AD8">
        <w:rPr>
          <w:sz w:val="32"/>
          <w:szCs w:val="32"/>
          <w:vertAlign w:val="superscript"/>
        </w:rPr>
        <w:t>1</w:t>
      </w:r>
      <w:r>
        <w:tab/>
      </w:r>
      <w:r w:rsidR="00A46C70">
        <w:t xml:space="preserve">With </w:t>
      </w:r>
      <w:r w:rsidR="00C651B2">
        <w:t xml:space="preserve">declining </w:t>
      </w:r>
      <w:r w:rsidR="00A46C70">
        <w:t xml:space="preserve">inventory costs, FIFO gives higher CGS than average cost. </w:t>
      </w:r>
      <w:r w:rsidR="00BD53CA">
        <w:t xml:space="preserve">(If inventory costs </w:t>
      </w:r>
      <w:r w:rsidR="0044151F">
        <w:t xml:space="preserve">rise, average cost gives higher CGS than FIFO). </w:t>
      </w:r>
      <w:r w:rsidR="00A46C70">
        <w:t>LCM is necessary under</w:t>
      </w:r>
      <w:r w:rsidR="005C7102">
        <w:t xml:space="preserve"> GAAP</w:t>
      </w:r>
      <w:r w:rsidR="00A46C70">
        <w:t>.</w:t>
      </w:r>
      <w:r>
        <w:t xml:space="preserve"> LCM is defined as lower of cost and net realizable value.</w:t>
      </w:r>
    </w:p>
    <w:p w14:paraId="4125A7E6" w14:textId="77777777" w:rsidR="00B9161F" w:rsidRDefault="00BD6AD8" w:rsidP="00BD6AD8">
      <w:pPr>
        <w:ind w:left="440" w:hanging="260"/>
      </w:pPr>
      <w:r>
        <w:t xml:space="preserve">2 </w:t>
      </w:r>
      <w:r w:rsidR="00B9161F">
        <w:t xml:space="preserve">Assuming following ASPE and has policy choice to capitalize or expense. </w:t>
      </w:r>
    </w:p>
    <w:p w14:paraId="5CA6FF3D" w14:textId="77777777" w:rsidR="00BD6AD8" w:rsidRDefault="00B9161F" w:rsidP="00BD6AD8">
      <w:pPr>
        <w:ind w:left="440" w:hanging="260"/>
      </w:pPr>
      <w:r>
        <w:t xml:space="preserve">3 </w:t>
      </w:r>
      <w:r w:rsidR="00BD6AD8">
        <w:t>Assuming that software development costs are eligible for capitalization. However, the capitalization of training costs is not permitted.</w:t>
      </w:r>
    </w:p>
    <w:p w14:paraId="0D9ABB74" w14:textId="77777777" w:rsidR="00A46C70" w:rsidRDefault="00A46C70">
      <w:pPr>
        <w:tabs>
          <w:tab w:val="left" w:pos="440"/>
        </w:tabs>
        <w:ind w:left="440" w:hanging="440"/>
      </w:pPr>
    </w:p>
    <w:p w14:paraId="04160106" w14:textId="77777777" w:rsidR="0076472A" w:rsidRDefault="0076472A">
      <w:pPr>
        <w:tabs>
          <w:tab w:val="left" w:pos="440"/>
        </w:tabs>
        <w:ind w:left="440" w:hanging="440"/>
      </w:pPr>
    </w:p>
    <w:p w14:paraId="5B31F947" w14:textId="35B810F7" w:rsidR="0076472A" w:rsidRDefault="0076472A" w:rsidP="003C65EC">
      <w:pPr>
        <w:tabs>
          <w:tab w:val="left" w:pos="440"/>
        </w:tabs>
      </w:pPr>
    </w:p>
    <w:p w14:paraId="2734F82E" w14:textId="36BC601E" w:rsidR="00BF3984" w:rsidRDefault="00BF3984">
      <w:pPr>
        <w:tabs>
          <w:tab w:val="left" w:pos="440"/>
          <w:tab w:val="left" w:pos="720"/>
          <w:tab w:val="left" w:pos="4680"/>
        </w:tabs>
        <w:rPr>
          <w:b/>
        </w:rPr>
      </w:pPr>
      <w:r>
        <w:rPr>
          <w:b/>
        </w:rPr>
        <w:t>Assignment</w:t>
      </w:r>
      <w:r>
        <w:t xml:space="preserve"> </w:t>
      </w:r>
      <w:r>
        <w:rPr>
          <w:b/>
        </w:rPr>
        <w:t>1-</w:t>
      </w:r>
      <w:r w:rsidR="00D1218B">
        <w:rPr>
          <w:b/>
        </w:rPr>
        <w:t>12</w:t>
      </w:r>
      <w:r w:rsidR="00A83BAC">
        <w:rPr>
          <w:b/>
        </w:rPr>
        <w:t xml:space="preserve"> </w:t>
      </w:r>
      <w:r w:rsidR="00A83BAC" w:rsidRPr="00A83BAC">
        <w:rPr>
          <w:szCs w:val="24"/>
        </w:rPr>
        <w:t>(</w:t>
      </w:r>
      <w:r w:rsidR="00A83BAC" w:rsidRPr="00A83BAC">
        <w:t>LO1.2, LO1.3, LO1.4)</w:t>
      </w:r>
    </w:p>
    <w:p w14:paraId="3621B8F4" w14:textId="77777777" w:rsidR="00BF3984" w:rsidRDefault="00134A1F">
      <w:r>
        <w:t xml:space="preserve"> </w:t>
      </w:r>
    </w:p>
    <w:p w14:paraId="46C143FA" w14:textId="77777777" w:rsidR="00240A70" w:rsidRDefault="00240A70">
      <w:r>
        <w:t xml:space="preserve">Dear Ms. </w:t>
      </w:r>
      <w:r w:rsidR="00A877C8">
        <w:t>Raisa</w:t>
      </w:r>
      <w:r>
        <w:t xml:space="preserve">, </w:t>
      </w:r>
    </w:p>
    <w:p w14:paraId="7F59B7C4" w14:textId="77777777" w:rsidR="00240A70" w:rsidRDefault="00240A70"/>
    <w:p w14:paraId="2FEBD443" w14:textId="77777777" w:rsidR="00C93361" w:rsidRDefault="002817CC">
      <w:r>
        <w:t>After conducting the research that you requested, I’ve come to the conclusion that b</w:t>
      </w:r>
      <w:r w:rsidR="0048002F">
        <w:t xml:space="preserve">oth </w:t>
      </w:r>
      <w:smartTag w:uri="urn:schemas-microsoft-com:office:smarttags" w:element="stockticker">
        <w:r w:rsidR="0048002F">
          <w:t>IFRS</w:t>
        </w:r>
      </w:smartTag>
      <w:r w:rsidR="0048002F">
        <w:t xml:space="preserve"> and Canadian </w:t>
      </w:r>
      <w:r w:rsidR="00841438">
        <w:t>ASPE</w:t>
      </w:r>
      <w:r w:rsidR="00E75A25">
        <w:t xml:space="preserve"> require research costs to be expensed</w:t>
      </w:r>
      <w:r>
        <w:t>. In contrast,</w:t>
      </w:r>
      <w:r w:rsidR="00E75A25">
        <w:t xml:space="preserve"> </w:t>
      </w:r>
      <w:r w:rsidR="0048002F">
        <w:t xml:space="preserve">development costs </w:t>
      </w:r>
      <w:r>
        <w:t>should</w:t>
      </w:r>
      <w:r w:rsidR="00E75A25">
        <w:t xml:space="preserve"> </w:t>
      </w:r>
      <w:r w:rsidR="0048002F">
        <w:t>be capitalized</w:t>
      </w:r>
      <w:r>
        <w:t xml:space="preserve"> and amortized, if certain criter</w:t>
      </w:r>
      <w:r w:rsidR="00F12498">
        <w:t>i</w:t>
      </w:r>
      <w:r>
        <w:t>a are met</w:t>
      </w:r>
      <w:r w:rsidR="00BD6AD8">
        <w:t xml:space="preserve"> in IFRS</w:t>
      </w:r>
      <w:r w:rsidR="0048002F">
        <w:t>.</w:t>
      </w:r>
      <w:r w:rsidR="00BD6AD8">
        <w:t xml:space="preserve"> I</w:t>
      </w:r>
      <w:r w:rsidR="00BA26F7">
        <w:t>n</w:t>
      </w:r>
      <w:r w:rsidR="00BD6AD8">
        <w:t xml:space="preserve"> ASPE there is the option to cho</w:t>
      </w:r>
      <w:r w:rsidR="0044151F">
        <w:t>o</w:t>
      </w:r>
      <w:r w:rsidR="00BD6AD8">
        <w:t>se to ex</w:t>
      </w:r>
      <w:r w:rsidR="0044151F">
        <w:t>p</w:t>
      </w:r>
      <w:r w:rsidR="00BD6AD8">
        <w:t>ense development costs even though they meet the criteria to capitalize.</w:t>
      </w:r>
      <w:r w:rsidR="0048002F">
        <w:t xml:space="preserve"> </w:t>
      </w:r>
    </w:p>
    <w:p w14:paraId="053AE423" w14:textId="77777777" w:rsidR="00811842" w:rsidRDefault="00811842"/>
    <w:p w14:paraId="3F4EC55E" w14:textId="77777777" w:rsidR="00C93361" w:rsidRDefault="00C93361">
      <w:r>
        <w:t>In the past, the company has expensed all research and development costs. I understand that this practice was followed because, until this year, the costs were relatively minor and could be construed as immaterial.</w:t>
      </w:r>
    </w:p>
    <w:p w14:paraId="4BF678E5" w14:textId="77777777" w:rsidR="0048002F" w:rsidRDefault="0048002F"/>
    <w:p w14:paraId="4988C98D" w14:textId="77777777" w:rsidR="002817CC" w:rsidRDefault="002817CC">
      <w:r>
        <w:t>Accounting standards define a set of criteria to differentiate between research and development costs. If all criteria are sat</w:t>
      </w:r>
      <w:r w:rsidR="00232CB0">
        <w:t>isfied, then there is no choice—</w:t>
      </w:r>
      <w:r>
        <w:t xml:space="preserve">they are </w:t>
      </w:r>
      <w:r w:rsidR="00232CB0">
        <w:t xml:space="preserve">defined as </w:t>
      </w:r>
      <w:r>
        <w:t>development costs and must be deferred and amortized</w:t>
      </w:r>
      <w:r w:rsidR="00811842">
        <w:t xml:space="preserve"> in IFRS</w:t>
      </w:r>
      <w:r>
        <w:t xml:space="preserve">. </w:t>
      </w:r>
      <w:r w:rsidR="007E252B">
        <w:t>The catch is that the criteria all involve estima</w:t>
      </w:r>
      <w:r w:rsidR="00C93361">
        <w:t>tes about the future, such as the availability of resources to complete the project and the ability of the company to actually sell it.</w:t>
      </w:r>
      <w:r w:rsidR="007E252B">
        <w:t xml:space="preserve"> </w:t>
      </w:r>
      <w:r w:rsidR="00C93361">
        <w:t>T</w:t>
      </w:r>
      <w:r w:rsidR="007E252B">
        <w:t xml:space="preserve">he estimates are about future events and are made by management. </w:t>
      </w:r>
    </w:p>
    <w:p w14:paraId="1FA8F054" w14:textId="77777777" w:rsidR="00232CB0" w:rsidRDefault="00232CB0"/>
    <w:p w14:paraId="2F1892A5" w14:textId="77777777" w:rsidR="00232CB0" w:rsidRDefault="007E252B">
      <w:r>
        <w:t xml:space="preserve">In light of the fact that the new copying machine has been brought to a marketable stage, it would seem that most of the criteria have already been met. Only the saleability is </w:t>
      </w:r>
      <w:r>
        <w:lastRenderedPageBreak/>
        <w:t xml:space="preserve">really open to question at this stage. </w:t>
      </w:r>
      <w:r w:rsidR="00C93361">
        <w:t>If the long-run viability of this project is still open to reasonable question, it may be possible to continue to expense the costs. M</w:t>
      </w:r>
      <w:r>
        <w:t xml:space="preserve">anagement has some discretion, but should not act </w:t>
      </w:r>
      <w:r w:rsidRPr="00C93361">
        <w:rPr>
          <w:b/>
        </w:rPr>
        <w:t>unethically</w:t>
      </w:r>
      <w:r>
        <w:t xml:space="preserve">. </w:t>
      </w:r>
    </w:p>
    <w:p w14:paraId="5CBE8C65" w14:textId="77777777" w:rsidR="00E75A25" w:rsidRDefault="00E75A25"/>
    <w:p w14:paraId="151CF156" w14:textId="77777777" w:rsidR="00E75A25" w:rsidRDefault="00C93361">
      <w:r>
        <w:t xml:space="preserve">You are concerned about the reaction of the bank to burdening future revenues with past costs and the fact that the bank is primarily interested in the company’s cash flows. If you wish, this issue can easily be solved by preparing </w:t>
      </w:r>
      <w:r w:rsidR="007E682E">
        <w:t xml:space="preserve">a special-purpose report that treats development costs as expenses, but this must be exclusively for the bank’s use. In practice, however, the bank is a sophisticated user and will most likely analyse our company’s cash flows by use of their own techniques. </w:t>
      </w:r>
    </w:p>
    <w:p w14:paraId="12632046" w14:textId="77777777" w:rsidR="00E80A55" w:rsidRDefault="00E80A55"/>
    <w:p w14:paraId="7FD9E176" w14:textId="77777777" w:rsidR="00E80A55" w:rsidRDefault="00E80A55">
      <w:r>
        <w:t xml:space="preserve">I regret that I cannot be encouraging about the prospect of capitalizing the research costs. Perhaps you should discuss this with your audit committee or with the audit partner. I regret that I cannot be of greater assistance, since I greatly enjoy my job here. </w:t>
      </w:r>
    </w:p>
    <w:p w14:paraId="64AB695F" w14:textId="77777777" w:rsidR="00E80A55" w:rsidRDefault="00E80A55"/>
    <w:p w14:paraId="1EF644F2" w14:textId="77777777" w:rsidR="00E80A55" w:rsidRDefault="00E80A55">
      <w:r>
        <w:t>Faithfully yours,</w:t>
      </w:r>
    </w:p>
    <w:p w14:paraId="68BFACD0" w14:textId="77777777" w:rsidR="00BF3984" w:rsidRDefault="00BF3984"/>
    <w:p w14:paraId="1C558A8C" w14:textId="77777777" w:rsidR="00D864F7" w:rsidRDefault="00D864F7"/>
    <w:p w14:paraId="18B0CE51" w14:textId="77777777" w:rsidR="00D864F7" w:rsidRDefault="00D864F7"/>
    <w:p w14:paraId="51E7A868" w14:textId="716FAADF" w:rsidR="00BF3984" w:rsidRPr="00811842" w:rsidRDefault="00BF3984" w:rsidP="00811842">
      <w:pPr>
        <w:rPr>
          <w:b/>
        </w:rPr>
      </w:pPr>
      <w:r w:rsidRPr="00811842">
        <w:rPr>
          <w:b/>
        </w:rPr>
        <w:t>Assignment 1-</w:t>
      </w:r>
      <w:r w:rsidR="00D1218B" w:rsidRPr="00811842">
        <w:rPr>
          <w:b/>
        </w:rPr>
        <w:t>1</w:t>
      </w:r>
      <w:r w:rsidR="00D1218B">
        <w:rPr>
          <w:b/>
        </w:rPr>
        <w:t>3</w:t>
      </w:r>
      <w:r w:rsidR="00A83BAC">
        <w:rPr>
          <w:b/>
        </w:rPr>
        <w:t xml:space="preserve"> </w:t>
      </w:r>
      <w:r w:rsidR="00A83BAC" w:rsidRPr="00A83BAC">
        <w:rPr>
          <w:szCs w:val="24"/>
        </w:rPr>
        <w:t>(</w:t>
      </w:r>
      <w:r w:rsidR="00A83BAC" w:rsidRPr="00A83BAC">
        <w:t>LO1.2, LO1.3, LO1.4)</w:t>
      </w:r>
    </w:p>
    <w:p w14:paraId="3F34735A" w14:textId="77777777" w:rsidR="00BF3984" w:rsidRDefault="00BF3984">
      <w:pPr>
        <w:tabs>
          <w:tab w:val="left" w:pos="360"/>
        </w:tabs>
        <w:ind w:left="800" w:hanging="800"/>
      </w:pPr>
    </w:p>
    <w:p w14:paraId="5A3A07CE" w14:textId="77777777" w:rsidR="00BF3984" w:rsidRDefault="00BF3984">
      <w:pPr>
        <w:tabs>
          <w:tab w:val="left" w:pos="440"/>
        </w:tabs>
      </w:pPr>
      <w:r>
        <w:t>1.</w:t>
      </w:r>
      <w:r>
        <w:tab/>
        <w:t>C and D</w:t>
      </w:r>
    </w:p>
    <w:p w14:paraId="7F4A47F1" w14:textId="77777777" w:rsidR="00BF3984" w:rsidRDefault="00993315">
      <w:pPr>
        <w:tabs>
          <w:tab w:val="left" w:pos="440"/>
        </w:tabs>
      </w:pPr>
      <w:r>
        <w:t>2.</w:t>
      </w:r>
      <w:r>
        <w:tab/>
      </w:r>
      <w:r w:rsidR="0030646A">
        <w:t>A and D</w:t>
      </w:r>
    </w:p>
    <w:p w14:paraId="5FB6EE25" w14:textId="77777777" w:rsidR="00BF3984" w:rsidRDefault="00BF3984">
      <w:pPr>
        <w:tabs>
          <w:tab w:val="left" w:pos="440"/>
        </w:tabs>
      </w:pPr>
      <w:r>
        <w:t>3.</w:t>
      </w:r>
      <w:r>
        <w:tab/>
        <w:t>C and D</w:t>
      </w:r>
    </w:p>
    <w:p w14:paraId="07DAFC8D" w14:textId="77777777" w:rsidR="00BF3984" w:rsidRPr="00AC30E5" w:rsidRDefault="00F85B06">
      <w:pPr>
        <w:tabs>
          <w:tab w:val="left" w:pos="440"/>
        </w:tabs>
        <w:rPr>
          <w:lang w:val="es-ES"/>
        </w:rPr>
      </w:pPr>
      <w:r w:rsidRPr="00AC30E5">
        <w:rPr>
          <w:lang w:val="es-ES"/>
        </w:rPr>
        <w:t>4</w:t>
      </w:r>
      <w:r w:rsidR="00BF3984" w:rsidRPr="00AC30E5">
        <w:rPr>
          <w:lang w:val="es-ES"/>
        </w:rPr>
        <w:t>.</w:t>
      </w:r>
      <w:r w:rsidR="00BF3984" w:rsidRPr="00AC30E5">
        <w:rPr>
          <w:lang w:val="es-ES"/>
        </w:rPr>
        <w:tab/>
        <w:t>B</w:t>
      </w:r>
    </w:p>
    <w:p w14:paraId="77177168" w14:textId="77777777" w:rsidR="00BF3984" w:rsidRPr="00AC30E5" w:rsidRDefault="00BF3984">
      <w:pPr>
        <w:rPr>
          <w:b/>
          <w:lang w:val="es-ES"/>
        </w:rPr>
      </w:pPr>
    </w:p>
    <w:p w14:paraId="596687DC" w14:textId="77777777" w:rsidR="00BF3984" w:rsidRPr="00AC30E5" w:rsidRDefault="00BF3984">
      <w:pPr>
        <w:rPr>
          <w:lang w:val="es-ES"/>
        </w:rPr>
      </w:pPr>
    </w:p>
    <w:p w14:paraId="4D76DE1C" w14:textId="5B3BEC56" w:rsidR="00BF3984" w:rsidRPr="00AC30E5" w:rsidRDefault="000D787C">
      <w:pPr>
        <w:tabs>
          <w:tab w:val="left" w:pos="440"/>
          <w:tab w:val="left" w:pos="5040"/>
        </w:tabs>
        <w:rPr>
          <w:b/>
          <w:lang w:val="es-ES"/>
        </w:rPr>
      </w:pPr>
      <w:r w:rsidRPr="00AC30E5">
        <w:rPr>
          <w:b/>
          <w:lang w:val="es-ES"/>
        </w:rPr>
        <w:br w:type="page"/>
      </w:r>
      <w:r w:rsidR="00BF3984" w:rsidRPr="00AC30E5">
        <w:rPr>
          <w:b/>
          <w:lang w:val="es-ES"/>
        </w:rPr>
        <w:lastRenderedPageBreak/>
        <w:t>Assignment 1-</w:t>
      </w:r>
      <w:r w:rsidR="00D1218B" w:rsidRPr="00AC30E5">
        <w:rPr>
          <w:b/>
          <w:lang w:val="es-ES"/>
        </w:rPr>
        <w:t>14</w:t>
      </w:r>
      <w:r w:rsidR="00A83BAC" w:rsidRPr="00AC30E5">
        <w:rPr>
          <w:b/>
          <w:lang w:val="es-ES"/>
        </w:rPr>
        <w:t xml:space="preserve"> </w:t>
      </w:r>
      <w:r w:rsidR="00A83BAC" w:rsidRPr="00AC30E5">
        <w:rPr>
          <w:szCs w:val="24"/>
          <w:lang w:val="es-ES"/>
        </w:rPr>
        <w:t>(</w:t>
      </w:r>
      <w:r w:rsidR="002655C5" w:rsidRPr="00AC30E5">
        <w:rPr>
          <w:szCs w:val="24"/>
          <w:lang w:val="es-ES"/>
        </w:rPr>
        <w:t xml:space="preserve">LO1.2, </w:t>
      </w:r>
      <w:r w:rsidR="00A83BAC" w:rsidRPr="00AC30E5">
        <w:rPr>
          <w:lang w:val="es-ES"/>
        </w:rPr>
        <w:t>LO1.3, LO1.4)</w:t>
      </w:r>
    </w:p>
    <w:p w14:paraId="6433B42F" w14:textId="77777777" w:rsidR="00BF3984" w:rsidRPr="00AC30E5" w:rsidRDefault="00BF3984">
      <w:pPr>
        <w:tabs>
          <w:tab w:val="left" w:pos="440"/>
          <w:tab w:val="left" w:pos="5040"/>
        </w:tabs>
        <w:rPr>
          <w:lang w:val="es-ES"/>
        </w:rPr>
      </w:pPr>
    </w:p>
    <w:p w14:paraId="2E944B03" w14:textId="77777777" w:rsidR="00966823" w:rsidRDefault="000D787C" w:rsidP="00966823">
      <w:pPr>
        <w:tabs>
          <w:tab w:val="left" w:pos="440"/>
          <w:tab w:val="left" w:pos="5040"/>
        </w:tabs>
        <w:spacing w:after="120"/>
      </w:pPr>
      <w:r w:rsidRPr="000D787C">
        <w:rPr>
          <w:b/>
          <w:i/>
        </w:rPr>
        <w:t>Note</w:t>
      </w:r>
      <w:r>
        <w:t xml:space="preserve">: </w:t>
      </w:r>
      <w:r w:rsidR="00966823">
        <w:t>The objective of this assignment is to stress the different ways in which circumstances can affect the way in which management may look at an accounting issue.</w:t>
      </w:r>
    </w:p>
    <w:p w14:paraId="0A0E8710" w14:textId="77777777" w:rsidR="000D787C" w:rsidRDefault="000D787C" w:rsidP="00966823">
      <w:pPr>
        <w:tabs>
          <w:tab w:val="left" w:pos="440"/>
          <w:tab w:val="left" w:pos="5040"/>
        </w:tabs>
      </w:pPr>
      <w:r>
        <w:t xml:space="preserve">Chapter 3 will discuss the difference between an </w:t>
      </w:r>
      <w:r w:rsidRPr="000D787C">
        <w:rPr>
          <w:i/>
        </w:rPr>
        <w:t>idle</w:t>
      </w:r>
      <w:r>
        <w:t xml:space="preserve"> asset (which continues to be depreciated) and an </w:t>
      </w:r>
      <w:r w:rsidRPr="000D787C">
        <w:rPr>
          <w:i/>
        </w:rPr>
        <w:t>abandoned</w:t>
      </w:r>
      <w:r>
        <w:t xml:space="preserve"> asset (which is written down</w:t>
      </w:r>
      <w:r w:rsidR="0030646A">
        <w:t xml:space="preserve"> to NRV</w:t>
      </w:r>
      <w:r>
        <w:t xml:space="preserve"> and thereafter not depreciated). The assets described in this assignment are idle, as they are being converted to a different use. However, students probably will not be familiar with this distinction</w:t>
      </w:r>
      <w:r w:rsidR="0030646A">
        <w:t xml:space="preserve"> nor with the relevant treatment for each</w:t>
      </w:r>
      <w:r>
        <w:t xml:space="preserve">. </w:t>
      </w:r>
    </w:p>
    <w:p w14:paraId="6A602389" w14:textId="77777777" w:rsidR="000D787C" w:rsidRDefault="000D787C">
      <w:pPr>
        <w:tabs>
          <w:tab w:val="left" w:pos="440"/>
          <w:tab w:val="left" w:pos="5040"/>
        </w:tabs>
      </w:pPr>
    </w:p>
    <w:p w14:paraId="05403DDA" w14:textId="77777777" w:rsidR="00966823" w:rsidRPr="00966823" w:rsidRDefault="00966823" w:rsidP="00966823">
      <w:pPr>
        <w:tabs>
          <w:tab w:val="left" w:pos="851"/>
          <w:tab w:val="left" w:pos="5040"/>
        </w:tabs>
        <w:spacing w:after="180"/>
        <w:rPr>
          <w:b/>
        </w:rPr>
      </w:pPr>
      <w:r w:rsidRPr="00966823">
        <w:rPr>
          <w:b/>
        </w:rPr>
        <w:tab/>
        <w:t>Policy</w:t>
      </w:r>
      <w:r w:rsidRPr="00966823">
        <w:rPr>
          <w:b/>
        </w:rPr>
        <w:tab/>
        <w:t>Rationale</w:t>
      </w:r>
    </w:p>
    <w:p w14:paraId="0C918A12" w14:textId="77777777" w:rsidR="001936C7" w:rsidRDefault="001936C7" w:rsidP="001936C7">
      <w:pPr>
        <w:tabs>
          <w:tab w:val="left" w:pos="440"/>
          <w:tab w:val="left" w:pos="3600"/>
        </w:tabs>
        <w:ind w:left="3600" w:hanging="3600"/>
      </w:pPr>
      <w:r>
        <w:t>1.</w:t>
      </w:r>
      <w:r>
        <w:tab/>
      </w:r>
      <w:r w:rsidR="00966823">
        <w:t>Do not depreciate</w:t>
      </w:r>
      <w:r>
        <w:tab/>
      </w:r>
      <w:r w:rsidR="00966823">
        <w:t>Match</w:t>
      </w:r>
      <w:r>
        <w:t xml:space="preserve"> depreciation </w:t>
      </w:r>
      <w:r w:rsidR="00966823">
        <w:t>with revenue earned once units are rented; this avoids increasing current loss due to vacant properties</w:t>
      </w:r>
      <w:r>
        <w:t>.</w:t>
      </w:r>
    </w:p>
    <w:p w14:paraId="466A9F05" w14:textId="77777777" w:rsidR="001936C7" w:rsidRDefault="001936C7" w:rsidP="001936C7">
      <w:pPr>
        <w:tabs>
          <w:tab w:val="left" w:pos="440"/>
          <w:tab w:val="left" w:pos="3600"/>
        </w:tabs>
        <w:ind w:left="3600" w:hanging="3600"/>
      </w:pPr>
    </w:p>
    <w:p w14:paraId="03634B6D" w14:textId="77777777" w:rsidR="00BF3984" w:rsidRDefault="001936C7">
      <w:pPr>
        <w:tabs>
          <w:tab w:val="left" w:pos="440"/>
          <w:tab w:val="left" w:pos="3600"/>
        </w:tabs>
      </w:pPr>
      <w:r>
        <w:t>2</w:t>
      </w:r>
      <w:r w:rsidR="00BF3984">
        <w:t>.</w:t>
      </w:r>
      <w:r w:rsidR="00BF3984">
        <w:tab/>
        <w:t>D</w:t>
      </w:r>
      <w:r w:rsidR="000D787C">
        <w:t>o not</w:t>
      </w:r>
      <w:r w:rsidR="00BF3984">
        <w:t xml:space="preserve"> depreciat</w:t>
      </w:r>
      <w:r w:rsidR="000D787C">
        <w:t>e</w:t>
      </w:r>
      <w:r w:rsidR="00BF3984">
        <w:tab/>
        <w:t xml:space="preserve">Managers will </w:t>
      </w:r>
      <w:r w:rsidR="00966823">
        <w:t>prefer</w:t>
      </w:r>
      <w:r w:rsidR="00BF3984">
        <w:t xml:space="preserve"> to maximize income.</w:t>
      </w:r>
    </w:p>
    <w:p w14:paraId="13514873" w14:textId="77777777" w:rsidR="00BF3984" w:rsidRDefault="00BF3984">
      <w:pPr>
        <w:tabs>
          <w:tab w:val="left" w:pos="440"/>
          <w:tab w:val="left" w:pos="3600"/>
        </w:tabs>
      </w:pPr>
    </w:p>
    <w:p w14:paraId="305531EE" w14:textId="77777777" w:rsidR="00BF3984" w:rsidRDefault="001936C7">
      <w:pPr>
        <w:tabs>
          <w:tab w:val="left" w:pos="440"/>
          <w:tab w:val="left" w:pos="3600"/>
        </w:tabs>
        <w:ind w:left="3600" w:hanging="3600"/>
      </w:pPr>
      <w:r>
        <w:t>3</w:t>
      </w:r>
      <w:r w:rsidR="00BF3984">
        <w:t>.</w:t>
      </w:r>
      <w:r w:rsidR="00BF3984">
        <w:tab/>
        <w:t>Defer deprecia</w:t>
      </w:r>
      <w:r w:rsidR="00966823">
        <w:t>tion</w:t>
      </w:r>
      <w:r w:rsidR="00966823">
        <w:tab/>
        <w:t xml:space="preserve">Net income will be higher. This effect will </w:t>
      </w:r>
      <w:r w:rsidR="00BF3984">
        <w:t xml:space="preserve">partially </w:t>
      </w:r>
      <w:r w:rsidR="00966823">
        <w:t xml:space="preserve">be </w:t>
      </w:r>
      <w:r w:rsidR="00BF3984">
        <w:t xml:space="preserve">offset by higher assets, but </w:t>
      </w:r>
      <w:r w:rsidR="000D787C">
        <w:t xml:space="preserve">depreciation expense will have a proportionately greater effect on net </w:t>
      </w:r>
      <w:r w:rsidR="00BF3984">
        <w:t>income</w:t>
      </w:r>
      <w:r w:rsidR="000D787C">
        <w:t xml:space="preserve"> that on the amount of total assets</w:t>
      </w:r>
      <w:r w:rsidR="00AC62C5">
        <w:t>, thereby improving the NI:TA ratio</w:t>
      </w:r>
      <w:r w:rsidR="00BF3984">
        <w:t>.</w:t>
      </w:r>
    </w:p>
    <w:p w14:paraId="4F693C3F" w14:textId="77777777" w:rsidR="00BF3984" w:rsidRDefault="00BF3984">
      <w:pPr>
        <w:tabs>
          <w:tab w:val="left" w:pos="440"/>
          <w:tab w:val="left" w:pos="3600"/>
        </w:tabs>
        <w:ind w:left="3600" w:hanging="3600"/>
      </w:pPr>
    </w:p>
    <w:p w14:paraId="13390CFD" w14:textId="77777777" w:rsidR="00BF3984" w:rsidRDefault="001936C7">
      <w:pPr>
        <w:tabs>
          <w:tab w:val="left" w:pos="440"/>
          <w:tab w:val="left" w:pos="3600"/>
        </w:tabs>
        <w:ind w:left="3600" w:hanging="3600"/>
      </w:pPr>
      <w:r>
        <w:t>4</w:t>
      </w:r>
      <w:r w:rsidR="00BF3984">
        <w:t>.</w:t>
      </w:r>
      <w:r w:rsidR="00BF3984">
        <w:tab/>
        <w:t>Indifferent</w:t>
      </w:r>
      <w:r w:rsidR="00BF3984">
        <w:tab/>
        <w:t xml:space="preserve">Accounting </w:t>
      </w:r>
      <w:r w:rsidR="00AC62C5">
        <w:t xml:space="preserve">depreciation </w:t>
      </w:r>
      <w:r w:rsidR="00BF3984">
        <w:t xml:space="preserve">policy does not </w:t>
      </w:r>
      <w:r w:rsidR="00AC62C5">
        <w:t>affect</w:t>
      </w:r>
      <w:r w:rsidR="00BF3984">
        <w:t xml:space="preserve"> </w:t>
      </w:r>
      <w:r w:rsidR="00AC62C5">
        <w:t xml:space="preserve">income </w:t>
      </w:r>
      <w:r w:rsidR="00BF3984">
        <w:t>tax policy</w:t>
      </w:r>
      <w:r w:rsidR="00AC62C5">
        <w:t>; CCA is an independent calculation for income tax purposes</w:t>
      </w:r>
      <w:r w:rsidR="00BF3984">
        <w:t>.</w:t>
      </w:r>
    </w:p>
    <w:p w14:paraId="0EB4000F" w14:textId="77777777" w:rsidR="00BF3984" w:rsidRDefault="00BF3984">
      <w:pPr>
        <w:tabs>
          <w:tab w:val="left" w:pos="440"/>
          <w:tab w:val="left" w:pos="3600"/>
        </w:tabs>
        <w:ind w:left="3600" w:hanging="3600"/>
      </w:pPr>
    </w:p>
    <w:p w14:paraId="2A72F121" w14:textId="77777777" w:rsidR="00BF3984" w:rsidRDefault="001936C7">
      <w:pPr>
        <w:tabs>
          <w:tab w:val="left" w:pos="440"/>
          <w:tab w:val="left" w:pos="3600"/>
        </w:tabs>
        <w:ind w:left="3600" w:hanging="3600"/>
      </w:pPr>
      <w:r>
        <w:t>5</w:t>
      </w:r>
      <w:r w:rsidR="00BF3984">
        <w:t>.</w:t>
      </w:r>
      <w:r w:rsidR="00BF3984">
        <w:tab/>
        <w:t>Could go either way</w:t>
      </w:r>
      <w:r w:rsidR="00BF3984">
        <w:tab/>
      </w:r>
      <w:r w:rsidR="00AC62C5">
        <w:t xml:space="preserve">(a) </w:t>
      </w:r>
      <w:r w:rsidR="00BF3984">
        <w:t>Depreciat</w:t>
      </w:r>
      <w:r w:rsidR="00AC62C5">
        <w:t>e, as</w:t>
      </w:r>
      <w:r w:rsidR="00BF3984">
        <w:t xml:space="preserve"> idle properties </w:t>
      </w:r>
      <w:r w:rsidR="00AC62C5">
        <w:t>are still getting older and increasingly obsolete, for stewardship; or</w:t>
      </w:r>
    </w:p>
    <w:p w14:paraId="169942E0" w14:textId="77777777" w:rsidR="00BF3984" w:rsidRDefault="00BF3984">
      <w:pPr>
        <w:tabs>
          <w:tab w:val="left" w:pos="440"/>
          <w:tab w:val="left" w:pos="3600"/>
        </w:tabs>
        <w:ind w:left="3600" w:hanging="3600"/>
      </w:pPr>
    </w:p>
    <w:p w14:paraId="10A75495" w14:textId="77777777" w:rsidR="00BF3984" w:rsidRDefault="00BF3984">
      <w:pPr>
        <w:tabs>
          <w:tab w:val="left" w:pos="440"/>
          <w:tab w:val="left" w:pos="3600"/>
        </w:tabs>
        <w:ind w:left="3600" w:hanging="3600"/>
      </w:pPr>
      <w:r>
        <w:tab/>
      </w:r>
      <w:r>
        <w:tab/>
      </w:r>
      <w:r w:rsidR="00AC62C5">
        <w:t xml:space="preserve">(b) </w:t>
      </w:r>
      <w:r>
        <w:t xml:space="preserve">Delay depreciation </w:t>
      </w:r>
      <w:r w:rsidR="00AC62C5">
        <w:t>to achieve</w:t>
      </w:r>
      <w:r>
        <w:t xml:space="preserve"> better matching</w:t>
      </w:r>
      <w:r w:rsidR="00AC62C5">
        <w:t xml:space="preserve"> with future rental revenues</w:t>
      </w:r>
      <w:r>
        <w:t>, for performance appraisal. (</w:t>
      </w:r>
      <w:r w:rsidR="00AC62C5">
        <w:t>don’t</w:t>
      </w:r>
      <w:r>
        <w:t xml:space="preserve"> depreciat</w:t>
      </w:r>
      <w:r w:rsidR="00BA26F7">
        <w:t>e</w:t>
      </w:r>
      <w:r>
        <w:t>)</w:t>
      </w:r>
    </w:p>
    <w:p w14:paraId="7E649D5C" w14:textId="77777777" w:rsidR="001936C7" w:rsidRDefault="001936C7" w:rsidP="001936C7">
      <w:pPr>
        <w:tabs>
          <w:tab w:val="left" w:pos="440"/>
          <w:tab w:val="left" w:pos="3600"/>
        </w:tabs>
        <w:ind w:left="3600" w:hanging="3600"/>
      </w:pPr>
    </w:p>
    <w:p w14:paraId="74F5CC54" w14:textId="77777777" w:rsidR="001936C7" w:rsidRDefault="001936C7" w:rsidP="001936C7">
      <w:pPr>
        <w:tabs>
          <w:tab w:val="left" w:pos="440"/>
          <w:tab w:val="left" w:pos="3600"/>
        </w:tabs>
        <w:ind w:left="3600" w:hanging="3600"/>
      </w:pPr>
      <w:r>
        <w:t>6.</w:t>
      </w:r>
      <w:r>
        <w:tab/>
        <w:t>Depreciate</w:t>
      </w:r>
      <w:r>
        <w:tab/>
      </w:r>
      <w:r w:rsidR="00AC62C5">
        <w:t>An increased loss for the current period will not affect managers’ compensation for the year. However, depreciating the assets in the current period will reduce the amount of depreciation for future periods in which management may be able to earn a bonus</w:t>
      </w:r>
      <w:r w:rsidR="00993315">
        <w:t>.</w:t>
      </w:r>
      <w:r w:rsidR="00AC62C5">
        <w:t xml:space="preserve">  </w:t>
      </w:r>
      <w:r>
        <w:t xml:space="preserve">Managers </w:t>
      </w:r>
      <w:r w:rsidR="00AC62C5">
        <w:t>may</w:t>
      </w:r>
      <w:r>
        <w:t xml:space="preserve"> try for </w:t>
      </w:r>
      <w:r w:rsidR="00993315">
        <w:t>a</w:t>
      </w:r>
      <w:r>
        <w:t xml:space="preserve"> ‘big bath’.</w:t>
      </w:r>
    </w:p>
    <w:p w14:paraId="14ACA0BD" w14:textId="77777777" w:rsidR="001936C7" w:rsidRDefault="001936C7" w:rsidP="001936C7">
      <w:pPr>
        <w:tabs>
          <w:tab w:val="left" w:pos="440"/>
          <w:tab w:val="left" w:pos="3600"/>
        </w:tabs>
        <w:ind w:left="3600" w:hanging="3600"/>
      </w:pPr>
      <w:r>
        <w:tab/>
      </w:r>
    </w:p>
    <w:p w14:paraId="3D9F2DA1" w14:textId="77777777" w:rsidR="00BF3984" w:rsidRDefault="00BF3984">
      <w:pPr>
        <w:tabs>
          <w:tab w:val="left" w:pos="440"/>
          <w:tab w:val="left" w:pos="3600"/>
        </w:tabs>
        <w:ind w:left="3600" w:hanging="3600"/>
      </w:pPr>
    </w:p>
    <w:sectPr w:rsidR="00BF3984" w:rsidSect="00C33F4F">
      <w:footerReference w:type="even" r:id="rId11"/>
      <w:footerReference w:type="default" r:id="rId12"/>
      <w:type w:val="oddPage"/>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A7F5" w14:textId="77777777" w:rsidR="00E23C97" w:rsidRDefault="00E23C97">
      <w:r>
        <w:separator/>
      </w:r>
    </w:p>
  </w:endnote>
  <w:endnote w:type="continuationSeparator" w:id="0">
    <w:p w14:paraId="7C8EDB33" w14:textId="77777777" w:rsidR="00E23C97" w:rsidRDefault="00E2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ECF5" w14:textId="1C6DF57E" w:rsidR="00016455" w:rsidRDefault="00905EF1" w:rsidP="00C33F4F">
    <w:pPr>
      <w:pStyle w:val="Footer"/>
      <w:jc w:val="left"/>
      <w:rPr>
        <w:rStyle w:val="PageNumber"/>
        <w:rFonts w:ascii="Arial Narrow" w:hAnsi="Arial Narrow"/>
        <w:b/>
        <w:sz w:val="18"/>
        <w:szCs w:val="18"/>
      </w:rPr>
    </w:pPr>
    <w:r>
      <w:rPr>
        <w:rStyle w:val="PageNumber"/>
        <w:rFonts w:ascii="Arial Narrow" w:hAnsi="Arial Narrow"/>
        <w:b/>
        <w:sz w:val="18"/>
        <w:szCs w:val="18"/>
      </w:rPr>
      <w:t xml:space="preserve">© 2025 </w:t>
    </w:r>
    <w:r w:rsidRPr="00E56ECB">
      <w:rPr>
        <w:rStyle w:val="PageNumber"/>
        <w:rFonts w:ascii="Arial Narrow" w:hAnsi="Arial Narrow"/>
        <w:b/>
        <w:sz w:val="18"/>
        <w:szCs w:val="18"/>
      </w:rPr>
      <w:t>Copyright McGraw Hill LLC.</w:t>
    </w:r>
    <w:r>
      <w:rPr>
        <w:rStyle w:val="PageNumber"/>
        <w:rFonts w:ascii="Arial Narrow" w:hAnsi="Arial Narrow"/>
        <w:b/>
        <w:sz w:val="18"/>
        <w:szCs w:val="18"/>
      </w:rPr>
      <w:t xml:space="preserve"> </w:t>
    </w:r>
    <w:r w:rsidR="00016455">
      <w:rPr>
        <w:rStyle w:val="PageNumber"/>
        <w:rFonts w:ascii="Arial Narrow" w:hAnsi="Arial Narrow"/>
        <w:b/>
        <w:sz w:val="18"/>
        <w:szCs w:val="18"/>
      </w:rPr>
      <w:t>All rights reserved</w:t>
    </w:r>
  </w:p>
  <w:p w14:paraId="01D642E2" w14:textId="5463833C" w:rsidR="00016455" w:rsidRPr="00C33F4F" w:rsidRDefault="00FA1A1C" w:rsidP="00995363">
    <w:pPr>
      <w:pStyle w:val="Footer"/>
      <w:pBdr>
        <w:top w:val="single" w:sz="2" w:space="1" w:color="auto"/>
      </w:pBdr>
      <w:tabs>
        <w:tab w:val="clear" w:pos="4320"/>
        <w:tab w:val="center" w:pos="3780"/>
      </w:tabs>
      <w:jc w:val="left"/>
      <w:rPr>
        <w:rFonts w:ascii="Arial Narrow" w:hAnsi="Arial Narrow"/>
        <w:b/>
        <w:sz w:val="18"/>
        <w:szCs w:val="18"/>
      </w:rPr>
    </w:pPr>
    <w:r>
      <w:rPr>
        <w:rStyle w:val="PageNumber"/>
        <w:rFonts w:ascii="Arial Narrow" w:hAnsi="Arial Narrow"/>
        <w:b/>
        <w:sz w:val="18"/>
        <w:szCs w:val="18"/>
      </w:rPr>
      <w:t>1-</w:t>
    </w:r>
    <w:r w:rsidR="00016455" w:rsidRPr="00C33F4F">
      <w:rPr>
        <w:rStyle w:val="PageNumber"/>
        <w:rFonts w:ascii="Arial Narrow" w:hAnsi="Arial Narrow"/>
        <w:b/>
        <w:sz w:val="18"/>
        <w:szCs w:val="18"/>
      </w:rPr>
      <w:fldChar w:fldCharType="begin"/>
    </w:r>
    <w:r w:rsidR="00016455" w:rsidRPr="00C33F4F">
      <w:rPr>
        <w:rStyle w:val="PageNumber"/>
        <w:rFonts w:ascii="Arial Narrow" w:hAnsi="Arial Narrow"/>
        <w:b/>
        <w:sz w:val="18"/>
        <w:szCs w:val="18"/>
      </w:rPr>
      <w:instrText xml:space="preserve"> PAGE </w:instrText>
    </w:r>
    <w:r w:rsidR="00016455" w:rsidRPr="00C33F4F">
      <w:rPr>
        <w:rStyle w:val="PageNumber"/>
        <w:rFonts w:ascii="Arial Narrow" w:hAnsi="Arial Narrow"/>
        <w:b/>
        <w:sz w:val="18"/>
        <w:szCs w:val="18"/>
      </w:rPr>
      <w:fldChar w:fldCharType="separate"/>
    </w:r>
    <w:r w:rsidR="001839CA">
      <w:rPr>
        <w:rStyle w:val="PageNumber"/>
        <w:rFonts w:ascii="Arial Narrow" w:hAnsi="Arial Narrow"/>
        <w:b/>
        <w:sz w:val="18"/>
        <w:szCs w:val="18"/>
      </w:rPr>
      <w:t>2</w:t>
    </w:r>
    <w:r w:rsidR="00016455" w:rsidRPr="00C33F4F">
      <w:rPr>
        <w:rStyle w:val="PageNumber"/>
        <w:rFonts w:ascii="Arial Narrow" w:hAnsi="Arial Narrow"/>
        <w:b/>
        <w:sz w:val="18"/>
        <w:szCs w:val="18"/>
      </w:rPr>
      <w:fldChar w:fldCharType="end"/>
    </w:r>
    <w:r w:rsidR="00016455">
      <w:rPr>
        <w:rStyle w:val="PageNumber"/>
        <w:rFonts w:ascii="Arial Narrow" w:hAnsi="Arial Narrow"/>
        <w:b/>
        <w:sz w:val="18"/>
        <w:szCs w:val="18"/>
      </w:rPr>
      <w:t xml:space="preserve">                                                               </w:t>
    </w:r>
    <w:r>
      <w:rPr>
        <w:rStyle w:val="PageNumber"/>
        <w:rFonts w:ascii="Arial Narrow" w:hAnsi="Arial Narrow"/>
        <w:b/>
        <w:sz w:val="18"/>
        <w:szCs w:val="18"/>
      </w:rPr>
      <w:t xml:space="preserve">     </w:t>
    </w:r>
    <w:r w:rsidRPr="00FA1A1C">
      <w:rPr>
        <w:rStyle w:val="PageNumber"/>
        <w:rFonts w:ascii="Arial Narrow" w:hAnsi="Arial Narrow"/>
        <w:b/>
        <w:i/>
        <w:sz w:val="18"/>
        <w:szCs w:val="18"/>
      </w:rPr>
      <w:t>S</w:t>
    </w:r>
    <w:r w:rsidR="00016455">
      <w:rPr>
        <w:rStyle w:val="PageNumber"/>
        <w:rFonts w:ascii="Arial Narrow" w:hAnsi="Arial Narrow"/>
        <w:b/>
        <w:i/>
        <w:sz w:val="18"/>
        <w:szCs w:val="18"/>
      </w:rPr>
      <w:t>olutions Manual</w:t>
    </w:r>
    <w:r w:rsidR="00016455">
      <w:rPr>
        <w:rStyle w:val="PageNumber"/>
        <w:rFonts w:ascii="Arial Narrow" w:hAnsi="Arial Narrow"/>
        <w:b/>
        <w:sz w:val="18"/>
        <w:szCs w:val="18"/>
      </w:rPr>
      <w:t xml:space="preserve"> to accompany </w:t>
    </w:r>
    <w:r w:rsidR="00016455" w:rsidRPr="00A31BCF">
      <w:rPr>
        <w:rStyle w:val="PageNumber"/>
        <w:rFonts w:ascii="Arial Narrow" w:hAnsi="Arial Narrow"/>
        <w:b/>
        <w:i/>
        <w:sz w:val="18"/>
        <w:szCs w:val="18"/>
      </w:rPr>
      <w:t>Intermediate Accounting,</w:t>
    </w:r>
    <w:r w:rsidR="00A76B2D">
      <w:rPr>
        <w:rStyle w:val="PageNumber"/>
        <w:rFonts w:ascii="Arial Narrow" w:hAnsi="Arial Narrow"/>
        <w:b/>
        <w:sz w:val="18"/>
        <w:szCs w:val="18"/>
      </w:rPr>
      <w:t xml:space="preserve"> Volume 1, </w:t>
    </w:r>
    <w:r w:rsidR="00B53BAB">
      <w:rPr>
        <w:rStyle w:val="PageNumber"/>
        <w:rFonts w:ascii="Arial Narrow" w:hAnsi="Arial Narrow"/>
        <w:b/>
        <w:sz w:val="18"/>
        <w:szCs w:val="18"/>
      </w:rPr>
      <w:t>9</w:t>
    </w:r>
    <w:r w:rsidR="00016455" w:rsidRPr="00CA6055">
      <w:rPr>
        <w:rStyle w:val="PageNumber"/>
        <w:rFonts w:ascii="Arial Narrow" w:hAnsi="Arial Narrow"/>
        <w:b/>
        <w:sz w:val="18"/>
        <w:szCs w:val="18"/>
        <w:vertAlign w:val="superscript"/>
      </w:rPr>
      <w:t>th</w:t>
    </w:r>
    <w:r w:rsidR="00016455">
      <w:rPr>
        <w:rStyle w:val="PageNumber"/>
        <w:rFonts w:ascii="Arial Narrow" w:hAnsi="Arial Narrow"/>
        <w:b/>
        <w:sz w:val="18"/>
        <w:szCs w:val="18"/>
      </w:rPr>
      <w:t xml:space="preserve"> 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5703" w14:textId="4A2A62D9" w:rsidR="00016455" w:rsidRDefault="00FA1A1C" w:rsidP="00646360">
    <w:pPr>
      <w:pStyle w:val="Footer"/>
      <w:jc w:val="right"/>
      <w:rPr>
        <w:rStyle w:val="PageNumber"/>
        <w:rFonts w:ascii="Arial Narrow" w:hAnsi="Arial Narrow"/>
        <w:b/>
        <w:sz w:val="18"/>
        <w:szCs w:val="18"/>
      </w:rPr>
    </w:pPr>
    <w:r>
      <w:rPr>
        <w:rStyle w:val="PageNumber"/>
        <w:rFonts w:ascii="Arial Narrow" w:hAnsi="Arial Narrow"/>
        <w:b/>
        <w:sz w:val="18"/>
        <w:szCs w:val="18"/>
      </w:rPr>
      <w:t>©</w:t>
    </w:r>
    <w:r w:rsidR="00A76B2D">
      <w:rPr>
        <w:rStyle w:val="PageNumber"/>
        <w:rFonts w:ascii="Arial Narrow" w:hAnsi="Arial Narrow"/>
        <w:b/>
        <w:sz w:val="18"/>
        <w:szCs w:val="18"/>
      </w:rPr>
      <w:t xml:space="preserve"> 20</w:t>
    </w:r>
    <w:r w:rsidR="007248E4">
      <w:rPr>
        <w:rStyle w:val="PageNumber"/>
        <w:rFonts w:ascii="Arial Narrow" w:hAnsi="Arial Narrow"/>
        <w:b/>
        <w:sz w:val="18"/>
        <w:szCs w:val="18"/>
      </w:rPr>
      <w:t>2</w:t>
    </w:r>
    <w:r w:rsidR="00133956">
      <w:rPr>
        <w:rStyle w:val="PageNumber"/>
        <w:rFonts w:ascii="Arial Narrow" w:hAnsi="Arial Narrow"/>
        <w:b/>
        <w:sz w:val="18"/>
        <w:szCs w:val="18"/>
      </w:rPr>
      <w:t>5</w:t>
    </w:r>
    <w:r w:rsidR="00016455">
      <w:rPr>
        <w:rStyle w:val="PageNumber"/>
        <w:rFonts w:ascii="Arial Narrow" w:hAnsi="Arial Narrow"/>
        <w:b/>
        <w:sz w:val="18"/>
        <w:szCs w:val="18"/>
      </w:rPr>
      <w:t xml:space="preserve"> </w:t>
    </w:r>
    <w:r w:rsidR="00E56ECB" w:rsidRPr="00E56ECB">
      <w:rPr>
        <w:rStyle w:val="PageNumber"/>
        <w:rFonts w:ascii="Arial Narrow" w:hAnsi="Arial Narrow"/>
        <w:b/>
        <w:sz w:val="18"/>
        <w:szCs w:val="18"/>
      </w:rPr>
      <w:t>Copyright McGraw Hill LLC.</w:t>
    </w:r>
    <w:r w:rsidR="00016455">
      <w:rPr>
        <w:rStyle w:val="PageNumber"/>
        <w:rFonts w:ascii="Arial Narrow" w:hAnsi="Arial Narrow"/>
        <w:b/>
        <w:sz w:val="18"/>
        <w:szCs w:val="18"/>
      </w:rPr>
      <w:t xml:space="preserve"> All rights reserved</w:t>
    </w:r>
  </w:p>
  <w:p w14:paraId="0AC7E7DC" w14:textId="1A0C0B9E" w:rsidR="00016455" w:rsidRPr="00C33F4F" w:rsidRDefault="00016455" w:rsidP="00C33F4F">
    <w:pPr>
      <w:pStyle w:val="Footer"/>
      <w:pBdr>
        <w:top w:val="single" w:sz="2" w:space="1" w:color="auto"/>
      </w:pBdr>
      <w:jc w:val="right"/>
      <w:rPr>
        <w:rFonts w:ascii="Arial Narrow" w:hAnsi="Arial Narrow"/>
        <w:b/>
        <w:sz w:val="18"/>
        <w:szCs w:val="18"/>
      </w:rPr>
    </w:pPr>
    <w:r>
      <w:rPr>
        <w:rStyle w:val="PageNumber"/>
        <w:rFonts w:ascii="Arial Narrow" w:hAnsi="Arial Narrow"/>
        <w:b/>
        <w:i/>
        <w:sz w:val="18"/>
        <w:szCs w:val="18"/>
      </w:rPr>
      <w:t xml:space="preserve">Solutions Manual </w:t>
    </w:r>
    <w:r>
      <w:rPr>
        <w:rStyle w:val="PageNumber"/>
        <w:rFonts w:ascii="Arial Narrow" w:hAnsi="Arial Narrow"/>
        <w:b/>
        <w:sz w:val="18"/>
        <w:szCs w:val="18"/>
      </w:rPr>
      <w:t xml:space="preserve">to accompany </w:t>
    </w:r>
    <w:r w:rsidRPr="00A31BCF">
      <w:rPr>
        <w:rStyle w:val="PageNumber"/>
        <w:rFonts w:ascii="Arial Narrow" w:hAnsi="Arial Narrow"/>
        <w:b/>
        <w:i/>
        <w:sz w:val="18"/>
        <w:szCs w:val="18"/>
      </w:rPr>
      <w:t>Intermediate Accounting</w:t>
    </w:r>
    <w:r w:rsidRPr="00A31BCF">
      <w:rPr>
        <w:rStyle w:val="PageNumber"/>
        <w:rFonts w:ascii="Arial Narrow" w:hAnsi="Arial Narrow"/>
        <w:b/>
        <w:sz w:val="18"/>
        <w:szCs w:val="18"/>
      </w:rPr>
      <w:t>,</w:t>
    </w:r>
    <w:r w:rsidR="00A76B2D">
      <w:rPr>
        <w:rStyle w:val="PageNumber"/>
        <w:rFonts w:ascii="Arial Narrow" w:hAnsi="Arial Narrow"/>
        <w:b/>
        <w:sz w:val="18"/>
        <w:szCs w:val="18"/>
      </w:rPr>
      <w:t xml:space="preserve"> Volume 1, </w:t>
    </w:r>
    <w:r w:rsidR="00BF4990">
      <w:rPr>
        <w:rStyle w:val="PageNumber"/>
        <w:rFonts w:ascii="Arial Narrow" w:hAnsi="Arial Narrow"/>
        <w:b/>
        <w:sz w:val="18"/>
        <w:szCs w:val="18"/>
      </w:rPr>
      <w:t>9</w:t>
    </w:r>
    <w:r w:rsidRPr="00CA6055">
      <w:rPr>
        <w:rStyle w:val="PageNumber"/>
        <w:rFonts w:ascii="Arial Narrow" w:hAnsi="Arial Narrow"/>
        <w:b/>
        <w:sz w:val="18"/>
        <w:szCs w:val="18"/>
        <w:vertAlign w:val="superscript"/>
      </w:rPr>
      <w:t>th</w:t>
    </w:r>
    <w:r>
      <w:rPr>
        <w:rStyle w:val="PageNumber"/>
        <w:rFonts w:ascii="Arial Narrow" w:hAnsi="Arial Narrow"/>
        <w:b/>
        <w:sz w:val="18"/>
        <w:szCs w:val="18"/>
      </w:rPr>
      <w:t xml:space="preserve"> edition</w:t>
    </w:r>
    <w:r>
      <w:rPr>
        <w:rStyle w:val="PageNumber"/>
        <w:rFonts w:ascii="Arial Narrow" w:hAnsi="Arial Narrow"/>
        <w:b/>
        <w:sz w:val="18"/>
        <w:szCs w:val="18"/>
      </w:rPr>
      <w:tab/>
    </w:r>
    <w:r w:rsidR="00FA1A1C">
      <w:rPr>
        <w:rStyle w:val="PageNumber"/>
        <w:rFonts w:ascii="Arial Narrow" w:hAnsi="Arial Narrow"/>
        <w:b/>
        <w:sz w:val="18"/>
        <w:szCs w:val="18"/>
      </w:rPr>
      <w:t>1-</w:t>
    </w:r>
    <w:r w:rsidRPr="00C33F4F">
      <w:rPr>
        <w:rStyle w:val="PageNumber"/>
        <w:rFonts w:ascii="Arial Narrow" w:hAnsi="Arial Narrow"/>
        <w:b/>
        <w:sz w:val="18"/>
        <w:szCs w:val="18"/>
      </w:rPr>
      <w:fldChar w:fldCharType="begin"/>
    </w:r>
    <w:r w:rsidRPr="00C33F4F">
      <w:rPr>
        <w:rStyle w:val="PageNumber"/>
        <w:rFonts w:ascii="Arial Narrow" w:hAnsi="Arial Narrow"/>
        <w:b/>
        <w:sz w:val="18"/>
        <w:szCs w:val="18"/>
      </w:rPr>
      <w:instrText xml:space="preserve"> PAGE </w:instrText>
    </w:r>
    <w:r w:rsidRPr="00C33F4F">
      <w:rPr>
        <w:rStyle w:val="PageNumber"/>
        <w:rFonts w:ascii="Arial Narrow" w:hAnsi="Arial Narrow"/>
        <w:b/>
        <w:sz w:val="18"/>
        <w:szCs w:val="18"/>
      </w:rPr>
      <w:fldChar w:fldCharType="separate"/>
    </w:r>
    <w:r w:rsidR="001839CA">
      <w:rPr>
        <w:rStyle w:val="PageNumber"/>
        <w:rFonts w:ascii="Arial Narrow" w:hAnsi="Arial Narrow"/>
        <w:b/>
        <w:sz w:val="18"/>
        <w:szCs w:val="18"/>
      </w:rPr>
      <w:t>1</w:t>
    </w:r>
    <w:r w:rsidRPr="00C33F4F">
      <w:rPr>
        <w:rStyle w:val="PageNumbe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A1AD" w14:textId="77777777" w:rsidR="00E23C97" w:rsidRDefault="00E23C97">
      <w:r>
        <w:separator/>
      </w:r>
    </w:p>
  </w:footnote>
  <w:footnote w:type="continuationSeparator" w:id="0">
    <w:p w14:paraId="72ADF55A" w14:textId="77777777" w:rsidR="00E23C97" w:rsidRDefault="00E23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A76"/>
    <w:multiLevelType w:val="hybridMultilevel"/>
    <w:tmpl w:val="CE787D60"/>
    <w:lvl w:ilvl="0" w:tplc="B7D64316">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A29EB"/>
    <w:multiLevelType w:val="singleLevel"/>
    <w:tmpl w:val="0C7EC200"/>
    <w:lvl w:ilvl="0">
      <w:start w:val="1"/>
      <w:numFmt w:val="bullet"/>
      <w:pStyle w:val="Bullet"/>
      <w:lvlText w:val=""/>
      <w:lvlJc w:val="left"/>
      <w:pPr>
        <w:tabs>
          <w:tab w:val="num" w:pos="360"/>
        </w:tabs>
        <w:ind w:left="360" w:hanging="360"/>
      </w:pPr>
      <w:rPr>
        <w:rFonts w:ascii="Times" w:hAnsi="Times" w:hint="default"/>
        <w:sz w:val="24"/>
      </w:rPr>
    </w:lvl>
  </w:abstractNum>
  <w:abstractNum w:abstractNumId="2" w15:restartNumberingAfterBreak="0">
    <w:nsid w:val="07B14653"/>
    <w:multiLevelType w:val="hybridMultilevel"/>
    <w:tmpl w:val="1D280164"/>
    <w:lvl w:ilvl="0" w:tplc="04090001">
      <w:start w:val="1"/>
      <w:numFmt w:val="bullet"/>
      <w:lvlText w:val=""/>
      <w:lvlJc w:val="left"/>
      <w:pPr>
        <w:tabs>
          <w:tab w:val="num" w:pos="360"/>
        </w:tabs>
        <w:ind w:left="360" w:hanging="360"/>
      </w:pPr>
      <w:rPr>
        <w:rFonts w:ascii="Symbol" w:hAnsi="Symbol" w:hint="default"/>
      </w:rPr>
    </w:lvl>
    <w:lvl w:ilvl="1" w:tplc="8E66672A">
      <w:start w:val="23"/>
      <w:numFmt w:val="bullet"/>
      <w:lvlText w:val="-"/>
      <w:lvlJc w:val="left"/>
      <w:pPr>
        <w:tabs>
          <w:tab w:val="num" w:pos="1080"/>
        </w:tabs>
        <w:ind w:left="1080" w:hanging="360"/>
      </w:pPr>
      <w:rPr>
        <w:rFonts w:ascii="Times" w:eastAsia="Times New Roman" w:hAnsi="Times" w:cs="Time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C26DEC"/>
    <w:multiLevelType w:val="multilevel"/>
    <w:tmpl w:val="9836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D16AD"/>
    <w:multiLevelType w:val="hybridMultilevel"/>
    <w:tmpl w:val="1DCC7770"/>
    <w:lvl w:ilvl="0" w:tplc="4B18528C">
      <w:start w:val="1"/>
      <w:numFmt w:val="decimal"/>
      <w:lvlText w:val="%1"/>
      <w:lvlJc w:val="left"/>
      <w:pPr>
        <w:ind w:left="540" w:hanging="360"/>
      </w:pPr>
      <w:rPr>
        <w:rFonts w:hint="default"/>
        <w:sz w:val="32"/>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5" w15:restartNumberingAfterBreak="0">
    <w:nsid w:val="0F1E3529"/>
    <w:multiLevelType w:val="hybridMultilevel"/>
    <w:tmpl w:val="3E54B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A1DE1"/>
    <w:multiLevelType w:val="hybridMultilevel"/>
    <w:tmpl w:val="CA62C46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1DCC43D4"/>
    <w:multiLevelType w:val="hybridMultilevel"/>
    <w:tmpl w:val="D49E52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937A0"/>
    <w:multiLevelType w:val="hybridMultilevel"/>
    <w:tmpl w:val="2982CA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0A1D59"/>
    <w:multiLevelType w:val="hybridMultilevel"/>
    <w:tmpl w:val="31F605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8A3182"/>
    <w:multiLevelType w:val="hybridMultilevel"/>
    <w:tmpl w:val="295E5210"/>
    <w:lvl w:ilvl="0" w:tplc="B7D6431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08301C"/>
    <w:multiLevelType w:val="hybridMultilevel"/>
    <w:tmpl w:val="A3DCA4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2D80214"/>
    <w:multiLevelType w:val="hybridMultilevel"/>
    <w:tmpl w:val="D7D8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E86816"/>
    <w:multiLevelType w:val="hybridMultilevel"/>
    <w:tmpl w:val="9E28E0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17D539E"/>
    <w:multiLevelType w:val="hybridMultilevel"/>
    <w:tmpl w:val="8DA0BC7E"/>
    <w:lvl w:ilvl="0" w:tplc="15744C96">
      <w:start w:val="1"/>
      <w:numFmt w:val="decimal"/>
      <w:lvlText w:val="%1."/>
      <w:lvlJc w:val="left"/>
      <w:pPr>
        <w:ind w:left="564" w:hanging="360"/>
      </w:pPr>
      <w:rPr>
        <w:rFonts w:hint="default"/>
      </w:rPr>
    </w:lvl>
    <w:lvl w:ilvl="1" w:tplc="10090019" w:tentative="1">
      <w:start w:val="1"/>
      <w:numFmt w:val="lowerLetter"/>
      <w:lvlText w:val="%2."/>
      <w:lvlJc w:val="left"/>
      <w:pPr>
        <w:ind w:left="1284" w:hanging="360"/>
      </w:pPr>
    </w:lvl>
    <w:lvl w:ilvl="2" w:tplc="1009001B" w:tentative="1">
      <w:start w:val="1"/>
      <w:numFmt w:val="lowerRoman"/>
      <w:lvlText w:val="%3."/>
      <w:lvlJc w:val="right"/>
      <w:pPr>
        <w:ind w:left="2004" w:hanging="180"/>
      </w:pPr>
    </w:lvl>
    <w:lvl w:ilvl="3" w:tplc="1009000F" w:tentative="1">
      <w:start w:val="1"/>
      <w:numFmt w:val="decimal"/>
      <w:lvlText w:val="%4."/>
      <w:lvlJc w:val="left"/>
      <w:pPr>
        <w:ind w:left="2724" w:hanging="360"/>
      </w:pPr>
    </w:lvl>
    <w:lvl w:ilvl="4" w:tplc="10090019" w:tentative="1">
      <w:start w:val="1"/>
      <w:numFmt w:val="lowerLetter"/>
      <w:lvlText w:val="%5."/>
      <w:lvlJc w:val="left"/>
      <w:pPr>
        <w:ind w:left="3444" w:hanging="360"/>
      </w:pPr>
    </w:lvl>
    <w:lvl w:ilvl="5" w:tplc="1009001B" w:tentative="1">
      <w:start w:val="1"/>
      <w:numFmt w:val="lowerRoman"/>
      <w:lvlText w:val="%6."/>
      <w:lvlJc w:val="right"/>
      <w:pPr>
        <w:ind w:left="4164" w:hanging="180"/>
      </w:pPr>
    </w:lvl>
    <w:lvl w:ilvl="6" w:tplc="1009000F" w:tentative="1">
      <w:start w:val="1"/>
      <w:numFmt w:val="decimal"/>
      <w:lvlText w:val="%7."/>
      <w:lvlJc w:val="left"/>
      <w:pPr>
        <w:ind w:left="4884" w:hanging="360"/>
      </w:pPr>
    </w:lvl>
    <w:lvl w:ilvl="7" w:tplc="10090019" w:tentative="1">
      <w:start w:val="1"/>
      <w:numFmt w:val="lowerLetter"/>
      <w:lvlText w:val="%8."/>
      <w:lvlJc w:val="left"/>
      <w:pPr>
        <w:ind w:left="5604" w:hanging="360"/>
      </w:pPr>
    </w:lvl>
    <w:lvl w:ilvl="8" w:tplc="1009001B" w:tentative="1">
      <w:start w:val="1"/>
      <w:numFmt w:val="lowerRoman"/>
      <w:lvlText w:val="%9."/>
      <w:lvlJc w:val="right"/>
      <w:pPr>
        <w:ind w:left="6324" w:hanging="180"/>
      </w:pPr>
    </w:lvl>
  </w:abstractNum>
  <w:abstractNum w:abstractNumId="15" w15:restartNumberingAfterBreak="0">
    <w:nsid w:val="657045BC"/>
    <w:multiLevelType w:val="hybridMultilevel"/>
    <w:tmpl w:val="0BCA8D4E"/>
    <w:lvl w:ilvl="0" w:tplc="0409000F">
      <w:start w:val="1"/>
      <w:numFmt w:val="decimal"/>
      <w:lvlText w:val="%1."/>
      <w:lvlJc w:val="left"/>
      <w:pPr>
        <w:tabs>
          <w:tab w:val="num" w:pos="360"/>
        </w:tabs>
        <w:ind w:left="360" w:hanging="360"/>
      </w:pPr>
      <w:rPr>
        <w:rFonts w:hint="default"/>
      </w:rPr>
    </w:lvl>
    <w:lvl w:ilvl="1" w:tplc="8E66672A">
      <w:start w:val="23"/>
      <w:numFmt w:val="bullet"/>
      <w:lvlText w:val="-"/>
      <w:lvlJc w:val="left"/>
      <w:pPr>
        <w:tabs>
          <w:tab w:val="num" w:pos="1080"/>
        </w:tabs>
        <w:ind w:left="1080" w:hanging="360"/>
      </w:pPr>
      <w:rPr>
        <w:rFonts w:ascii="Times" w:eastAsia="Times New Roman" w:hAnsi="Times" w:cs="Time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6052B76"/>
    <w:multiLevelType w:val="hybridMultilevel"/>
    <w:tmpl w:val="3620B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1411A2"/>
    <w:multiLevelType w:val="hybridMultilevel"/>
    <w:tmpl w:val="600C25E8"/>
    <w:lvl w:ilvl="0" w:tplc="67E8BA8E">
      <w:start w:val="1"/>
      <w:numFmt w:val="decimal"/>
      <w:lvlText w:val="%1."/>
      <w:lvlJc w:val="left"/>
      <w:pPr>
        <w:ind w:left="456" w:hanging="360"/>
      </w:pPr>
      <w:rPr>
        <w:rFonts w:hint="default"/>
      </w:rPr>
    </w:lvl>
    <w:lvl w:ilvl="1" w:tplc="10090019" w:tentative="1">
      <w:start w:val="1"/>
      <w:numFmt w:val="lowerLetter"/>
      <w:lvlText w:val="%2."/>
      <w:lvlJc w:val="left"/>
      <w:pPr>
        <w:ind w:left="1176" w:hanging="360"/>
      </w:pPr>
    </w:lvl>
    <w:lvl w:ilvl="2" w:tplc="1009001B" w:tentative="1">
      <w:start w:val="1"/>
      <w:numFmt w:val="lowerRoman"/>
      <w:lvlText w:val="%3."/>
      <w:lvlJc w:val="right"/>
      <w:pPr>
        <w:ind w:left="1896" w:hanging="180"/>
      </w:pPr>
    </w:lvl>
    <w:lvl w:ilvl="3" w:tplc="1009000F" w:tentative="1">
      <w:start w:val="1"/>
      <w:numFmt w:val="decimal"/>
      <w:lvlText w:val="%4."/>
      <w:lvlJc w:val="left"/>
      <w:pPr>
        <w:ind w:left="2616" w:hanging="360"/>
      </w:pPr>
    </w:lvl>
    <w:lvl w:ilvl="4" w:tplc="10090019" w:tentative="1">
      <w:start w:val="1"/>
      <w:numFmt w:val="lowerLetter"/>
      <w:lvlText w:val="%5."/>
      <w:lvlJc w:val="left"/>
      <w:pPr>
        <w:ind w:left="3336" w:hanging="360"/>
      </w:pPr>
    </w:lvl>
    <w:lvl w:ilvl="5" w:tplc="1009001B" w:tentative="1">
      <w:start w:val="1"/>
      <w:numFmt w:val="lowerRoman"/>
      <w:lvlText w:val="%6."/>
      <w:lvlJc w:val="right"/>
      <w:pPr>
        <w:ind w:left="4056" w:hanging="180"/>
      </w:pPr>
    </w:lvl>
    <w:lvl w:ilvl="6" w:tplc="1009000F" w:tentative="1">
      <w:start w:val="1"/>
      <w:numFmt w:val="decimal"/>
      <w:lvlText w:val="%7."/>
      <w:lvlJc w:val="left"/>
      <w:pPr>
        <w:ind w:left="4776" w:hanging="360"/>
      </w:pPr>
    </w:lvl>
    <w:lvl w:ilvl="7" w:tplc="10090019" w:tentative="1">
      <w:start w:val="1"/>
      <w:numFmt w:val="lowerLetter"/>
      <w:lvlText w:val="%8."/>
      <w:lvlJc w:val="left"/>
      <w:pPr>
        <w:ind w:left="5496" w:hanging="360"/>
      </w:pPr>
    </w:lvl>
    <w:lvl w:ilvl="8" w:tplc="1009001B" w:tentative="1">
      <w:start w:val="1"/>
      <w:numFmt w:val="lowerRoman"/>
      <w:lvlText w:val="%9."/>
      <w:lvlJc w:val="right"/>
      <w:pPr>
        <w:ind w:left="6216" w:hanging="180"/>
      </w:pPr>
    </w:lvl>
  </w:abstractNum>
  <w:abstractNum w:abstractNumId="18" w15:restartNumberingAfterBreak="0">
    <w:nsid w:val="782D3233"/>
    <w:multiLevelType w:val="hybridMultilevel"/>
    <w:tmpl w:val="97201FEA"/>
    <w:lvl w:ilvl="0" w:tplc="B7D6431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881453F"/>
    <w:multiLevelType w:val="hybridMultilevel"/>
    <w:tmpl w:val="5F3C0064"/>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67643518">
    <w:abstractNumId w:val="1"/>
  </w:num>
  <w:num w:numId="2" w16cid:durableId="1120218934">
    <w:abstractNumId w:val="8"/>
  </w:num>
  <w:num w:numId="3" w16cid:durableId="1872716914">
    <w:abstractNumId w:val="5"/>
  </w:num>
  <w:num w:numId="4" w16cid:durableId="1114203490">
    <w:abstractNumId w:val="12"/>
  </w:num>
  <w:num w:numId="5" w16cid:durableId="809244999">
    <w:abstractNumId w:val="15"/>
  </w:num>
  <w:num w:numId="6" w16cid:durableId="1728871455">
    <w:abstractNumId w:val="18"/>
  </w:num>
  <w:num w:numId="7" w16cid:durableId="254637243">
    <w:abstractNumId w:val="2"/>
  </w:num>
  <w:num w:numId="8" w16cid:durableId="95365006">
    <w:abstractNumId w:val="0"/>
  </w:num>
  <w:num w:numId="9" w16cid:durableId="705371554">
    <w:abstractNumId w:val="10"/>
  </w:num>
  <w:num w:numId="10" w16cid:durableId="34620008">
    <w:abstractNumId w:val="7"/>
  </w:num>
  <w:num w:numId="11" w16cid:durableId="1505124510">
    <w:abstractNumId w:val="6"/>
  </w:num>
  <w:num w:numId="12" w16cid:durableId="1481769218">
    <w:abstractNumId w:val="16"/>
  </w:num>
  <w:num w:numId="13" w16cid:durableId="1741369836">
    <w:abstractNumId w:val="3"/>
  </w:num>
  <w:num w:numId="14" w16cid:durableId="1592810785">
    <w:abstractNumId w:val="19"/>
  </w:num>
  <w:num w:numId="15" w16cid:durableId="354118984">
    <w:abstractNumId w:val="13"/>
  </w:num>
  <w:num w:numId="16" w16cid:durableId="523246766">
    <w:abstractNumId w:val="9"/>
  </w:num>
  <w:num w:numId="17" w16cid:durableId="1717584108">
    <w:abstractNumId w:val="17"/>
  </w:num>
  <w:num w:numId="18" w16cid:durableId="1301494789">
    <w:abstractNumId w:val="11"/>
  </w:num>
  <w:num w:numId="19" w16cid:durableId="1151140418">
    <w:abstractNumId w:val="14"/>
  </w:num>
  <w:num w:numId="20" w16cid:durableId="1147356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6273"/>
    <w:rsid w:val="000003FE"/>
    <w:rsid w:val="000026F6"/>
    <w:rsid w:val="0000772C"/>
    <w:rsid w:val="000114B5"/>
    <w:rsid w:val="00016455"/>
    <w:rsid w:val="000203A1"/>
    <w:rsid w:val="00023896"/>
    <w:rsid w:val="000310BF"/>
    <w:rsid w:val="000332B1"/>
    <w:rsid w:val="00047CB3"/>
    <w:rsid w:val="00056A9D"/>
    <w:rsid w:val="0006685F"/>
    <w:rsid w:val="00074369"/>
    <w:rsid w:val="0008281A"/>
    <w:rsid w:val="00090DDF"/>
    <w:rsid w:val="000912C2"/>
    <w:rsid w:val="00091C65"/>
    <w:rsid w:val="000A52D3"/>
    <w:rsid w:val="000B2A8C"/>
    <w:rsid w:val="000B53FE"/>
    <w:rsid w:val="000B76AF"/>
    <w:rsid w:val="000C6C0E"/>
    <w:rsid w:val="000D787C"/>
    <w:rsid w:val="000E4B22"/>
    <w:rsid w:val="000E708C"/>
    <w:rsid w:val="000F016F"/>
    <w:rsid w:val="00100228"/>
    <w:rsid w:val="00104B4D"/>
    <w:rsid w:val="001109E7"/>
    <w:rsid w:val="001124C4"/>
    <w:rsid w:val="00130CA6"/>
    <w:rsid w:val="00133956"/>
    <w:rsid w:val="00134A1F"/>
    <w:rsid w:val="001444D7"/>
    <w:rsid w:val="00144854"/>
    <w:rsid w:val="00146089"/>
    <w:rsid w:val="00154621"/>
    <w:rsid w:val="001579F7"/>
    <w:rsid w:val="00160093"/>
    <w:rsid w:val="001652E3"/>
    <w:rsid w:val="00172FD3"/>
    <w:rsid w:val="001757D0"/>
    <w:rsid w:val="0017650C"/>
    <w:rsid w:val="00176BD9"/>
    <w:rsid w:val="001809B2"/>
    <w:rsid w:val="001839CA"/>
    <w:rsid w:val="001936C7"/>
    <w:rsid w:val="001942C6"/>
    <w:rsid w:val="001A3F2B"/>
    <w:rsid w:val="001C0095"/>
    <w:rsid w:val="001C2D7A"/>
    <w:rsid w:val="001C5560"/>
    <w:rsid w:val="001D37F4"/>
    <w:rsid w:val="001D3A16"/>
    <w:rsid w:val="001E2441"/>
    <w:rsid w:val="001F635D"/>
    <w:rsid w:val="002017E3"/>
    <w:rsid w:val="00205724"/>
    <w:rsid w:val="002266B7"/>
    <w:rsid w:val="002307F3"/>
    <w:rsid w:val="00231043"/>
    <w:rsid w:val="00232CB0"/>
    <w:rsid w:val="002405AE"/>
    <w:rsid w:val="00240A70"/>
    <w:rsid w:val="00243EB1"/>
    <w:rsid w:val="0025551B"/>
    <w:rsid w:val="002655C5"/>
    <w:rsid w:val="002817CC"/>
    <w:rsid w:val="00282B19"/>
    <w:rsid w:val="00284FC0"/>
    <w:rsid w:val="00286563"/>
    <w:rsid w:val="00294C66"/>
    <w:rsid w:val="00296B15"/>
    <w:rsid w:val="002A205A"/>
    <w:rsid w:val="002A2114"/>
    <w:rsid w:val="002A7897"/>
    <w:rsid w:val="002B0137"/>
    <w:rsid w:val="002B0F64"/>
    <w:rsid w:val="002B3643"/>
    <w:rsid w:val="002B6DC3"/>
    <w:rsid w:val="002C7887"/>
    <w:rsid w:val="002D1838"/>
    <w:rsid w:val="002E7BFC"/>
    <w:rsid w:val="002F2760"/>
    <w:rsid w:val="0030646A"/>
    <w:rsid w:val="00323561"/>
    <w:rsid w:val="00344D60"/>
    <w:rsid w:val="00351015"/>
    <w:rsid w:val="003567F6"/>
    <w:rsid w:val="003A4875"/>
    <w:rsid w:val="003B19A8"/>
    <w:rsid w:val="003B50D2"/>
    <w:rsid w:val="003B799C"/>
    <w:rsid w:val="003C108F"/>
    <w:rsid w:val="003C38B7"/>
    <w:rsid w:val="003C65EC"/>
    <w:rsid w:val="003E1585"/>
    <w:rsid w:val="003E4CC7"/>
    <w:rsid w:val="003F06B2"/>
    <w:rsid w:val="003F4B0A"/>
    <w:rsid w:val="003F634E"/>
    <w:rsid w:val="00400266"/>
    <w:rsid w:val="004105AE"/>
    <w:rsid w:val="004140CE"/>
    <w:rsid w:val="00426785"/>
    <w:rsid w:val="0044151F"/>
    <w:rsid w:val="00445DCA"/>
    <w:rsid w:val="0044740E"/>
    <w:rsid w:val="00450388"/>
    <w:rsid w:val="00450E53"/>
    <w:rsid w:val="004537CD"/>
    <w:rsid w:val="00461553"/>
    <w:rsid w:val="004708D9"/>
    <w:rsid w:val="00475C7D"/>
    <w:rsid w:val="0048002F"/>
    <w:rsid w:val="00484DDF"/>
    <w:rsid w:val="00493538"/>
    <w:rsid w:val="00494424"/>
    <w:rsid w:val="004A076A"/>
    <w:rsid w:val="004A1EF0"/>
    <w:rsid w:val="004A37FD"/>
    <w:rsid w:val="004B7AA9"/>
    <w:rsid w:val="004C3C90"/>
    <w:rsid w:val="004E23AD"/>
    <w:rsid w:val="004F3D01"/>
    <w:rsid w:val="004F7176"/>
    <w:rsid w:val="004F7292"/>
    <w:rsid w:val="00511B86"/>
    <w:rsid w:val="00511C50"/>
    <w:rsid w:val="00515B75"/>
    <w:rsid w:val="00516599"/>
    <w:rsid w:val="005238D8"/>
    <w:rsid w:val="0052512A"/>
    <w:rsid w:val="00526B00"/>
    <w:rsid w:val="0053028E"/>
    <w:rsid w:val="00544BB9"/>
    <w:rsid w:val="0056144E"/>
    <w:rsid w:val="0056154B"/>
    <w:rsid w:val="005625A2"/>
    <w:rsid w:val="00564B78"/>
    <w:rsid w:val="0057203A"/>
    <w:rsid w:val="00580692"/>
    <w:rsid w:val="00597AAE"/>
    <w:rsid w:val="005A70BB"/>
    <w:rsid w:val="005A7FD2"/>
    <w:rsid w:val="005B5825"/>
    <w:rsid w:val="005B5ADC"/>
    <w:rsid w:val="005B6B82"/>
    <w:rsid w:val="005B6FB7"/>
    <w:rsid w:val="005C1ECB"/>
    <w:rsid w:val="005C7102"/>
    <w:rsid w:val="005D141D"/>
    <w:rsid w:val="005E5112"/>
    <w:rsid w:val="005F1625"/>
    <w:rsid w:val="005F7EF1"/>
    <w:rsid w:val="00602B87"/>
    <w:rsid w:val="00605423"/>
    <w:rsid w:val="00606A5E"/>
    <w:rsid w:val="00610259"/>
    <w:rsid w:val="00610D19"/>
    <w:rsid w:val="00612FDF"/>
    <w:rsid w:val="00614F87"/>
    <w:rsid w:val="00615A5A"/>
    <w:rsid w:val="00617990"/>
    <w:rsid w:val="00623349"/>
    <w:rsid w:val="00623758"/>
    <w:rsid w:val="00624B73"/>
    <w:rsid w:val="00644C4C"/>
    <w:rsid w:val="00646360"/>
    <w:rsid w:val="00653E87"/>
    <w:rsid w:val="00657672"/>
    <w:rsid w:val="00660D5B"/>
    <w:rsid w:val="00671648"/>
    <w:rsid w:val="00685DB1"/>
    <w:rsid w:val="00687040"/>
    <w:rsid w:val="00687490"/>
    <w:rsid w:val="00690E9C"/>
    <w:rsid w:val="00693DC8"/>
    <w:rsid w:val="00695B1A"/>
    <w:rsid w:val="006A7C23"/>
    <w:rsid w:val="006C00C2"/>
    <w:rsid w:val="006C1B58"/>
    <w:rsid w:val="006C7C2F"/>
    <w:rsid w:val="006D016B"/>
    <w:rsid w:val="006D6631"/>
    <w:rsid w:val="006E1603"/>
    <w:rsid w:val="007036FB"/>
    <w:rsid w:val="007248E4"/>
    <w:rsid w:val="00730B89"/>
    <w:rsid w:val="00752B91"/>
    <w:rsid w:val="00754CAC"/>
    <w:rsid w:val="0076283B"/>
    <w:rsid w:val="0076472A"/>
    <w:rsid w:val="00767507"/>
    <w:rsid w:val="00767AB6"/>
    <w:rsid w:val="00776B38"/>
    <w:rsid w:val="00790DDC"/>
    <w:rsid w:val="0079294F"/>
    <w:rsid w:val="007A58BA"/>
    <w:rsid w:val="007B5C78"/>
    <w:rsid w:val="007C07CE"/>
    <w:rsid w:val="007C618E"/>
    <w:rsid w:val="007D5F5D"/>
    <w:rsid w:val="007E252B"/>
    <w:rsid w:val="007E3B46"/>
    <w:rsid w:val="007E559A"/>
    <w:rsid w:val="007E682E"/>
    <w:rsid w:val="007F0A1B"/>
    <w:rsid w:val="007F0A77"/>
    <w:rsid w:val="007F6273"/>
    <w:rsid w:val="00805305"/>
    <w:rsid w:val="00811842"/>
    <w:rsid w:val="00812AC0"/>
    <w:rsid w:val="00814A9E"/>
    <w:rsid w:val="00817CC0"/>
    <w:rsid w:val="00820413"/>
    <w:rsid w:val="00841438"/>
    <w:rsid w:val="00845F80"/>
    <w:rsid w:val="00853C3B"/>
    <w:rsid w:val="008553C0"/>
    <w:rsid w:val="00860215"/>
    <w:rsid w:val="0086558F"/>
    <w:rsid w:val="0086578F"/>
    <w:rsid w:val="00875543"/>
    <w:rsid w:val="0088145D"/>
    <w:rsid w:val="0088186D"/>
    <w:rsid w:val="00881C6E"/>
    <w:rsid w:val="00881F96"/>
    <w:rsid w:val="0088484E"/>
    <w:rsid w:val="008905A7"/>
    <w:rsid w:val="00897D11"/>
    <w:rsid w:val="008A55F1"/>
    <w:rsid w:val="008A5652"/>
    <w:rsid w:val="008A6F11"/>
    <w:rsid w:val="008B1727"/>
    <w:rsid w:val="008B279D"/>
    <w:rsid w:val="008B314C"/>
    <w:rsid w:val="008C1A80"/>
    <w:rsid w:val="008C45EC"/>
    <w:rsid w:val="008C7167"/>
    <w:rsid w:val="008D6040"/>
    <w:rsid w:val="008E13A3"/>
    <w:rsid w:val="008E5396"/>
    <w:rsid w:val="008E5759"/>
    <w:rsid w:val="008F372D"/>
    <w:rsid w:val="008F3AF5"/>
    <w:rsid w:val="008F55C9"/>
    <w:rsid w:val="008F6D8D"/>
    <w:rsid w:val="00905EF1"/>
    <w:rsid w:val="00912F52"/>
    <w:rsid w:val="00913087"/>
    <w:rsid w:val="009210C3"/>
    <w:rsid w:val="00921141"/>
    <w:rsid w:val="009348A5"/>
    <w:rsid w:val="00935892"/>
    <w:rsid w:val="00940FC4"/>
    <w:rsid w:val="00966823"/>
    <w:rsid w:val="009672D3"/>
    <w:rsid w:val="00972544"/>
    <w:rsid w:val="009732C4"/>
    <w:rsid w:val="009806D4"/>
    <w:rsid w:val="00985B0E"/>
    <w:rsid w:val="009900F6"/>
    <w:rsid w:val="00993315"/>
    <w:rsid w:val="00995363"/>
    <w:rsid w:val="009A0EBB"/>
    <w:rsid w:val="009B1672"/>
    <w:rsid w:val="009C046C"/>
    <w:rsid w:val="009C63CF"/>
    <w:rsid w:val="009D2371"/>
    <w:rsid w:val="009E2781"/>
    <w:rsid w:val="009E7A31"/>
    <w:rsid w:val="009F0B44"/>
    <w:rsid w:val="00A00303"/>
    <w:rsid w:val="00A07C38"/>
    <w:rsid w:val="00A1704C"/>
    <w:rsid w:val="00A2009D"/>
    <w:rsid w:val="00A208B8"/>
    <w:rsid w:val="00A24225"/>
    <w:rsid w:val="00A25B3C"/>
    <w:rsid w:val="00A31BCF"/>
    <w:rsid w:val="00A46C70"/>
    <w:rsid w:val="00A47052"/>
    <w:rsid w:val="00A50E31"/>
    <w:rsid w:val="00A52E57"/>
    <w:rsid w:val="00A53C07"/>
    <w:rsid w:val="00A60564"/>
    <w:rsid w:val="00A6477E"/>
    <w:rsid w:val="00A75E88"/>
    <w:rsid w:val="00A76B2D"/>
    <w:rsid w:val="00A83230"/>
    <w:rsid w:val="00A83BAC"/>
    <w:rsid w:val="00A84042"/>
    <w:rsid w:val="00A8417A"/>
    <w:rsid w:val="00A877C8"/>
    <w:rsid w:val="00A94F0C"/>
    <w:rsid w:val="00A96D3E"/>
    <w:rsid w:val="00AA0694"/>
    <w:rsid w:val="00AA3FF2"/>
    <w:rsid w:val="00AA4FF1"/>
    <w:rsid w:val="00AB4B39"/>
    <w:rsid w:val="00AC0F1A"/>
    <w:rsid w:val="00AC2906"/>
    <w:rsid w:val="00AC30E5"/>
    <w:rsid w:val="00AC4248"/>
    <w:rsid w:val="00AC62C5"/>
    <w:rsid w:val="00B04027"/>
    <w:rsid w:val="00B12AA1"/>
    <w:rsid w:val="00B1349D"/>
    <w:rsid w:val="00B32E87"/>
    <w:rsid w:val="00B34A35"/>
    <w:rsid w:val="00B46AB4"/>
    <w:rsid w:val="00B53BAB"/>
    <w:rsid w:val="00B71E22"/>
    <w:rsid w:val="00B75BE3"/>
    <w:rsid w:val="00B77FD9"/>
    <w:rsid w:val="00B86B35"/>
    <w:rsid w:val="00B9161F"/>
    <w:rsid w:val="00BA1464"/>
    <w:rsid w:val="00BA158D"/>
    <w:rsid w:val="00BA26F7"/>
    <w:rsid w:val="00BA599B"/>
    <w:rsid w:val="00BA5A54"/>
    <w:rsid w:val="00BB11FF"/>
    <w:rsid w:val="00BB605E"/>
    <w:rsid w:val="00BD53CA"/>
    <w:rsid w:val="00BD6AD8"/>
    <w:rsid w:val="00BD7FAC"/>
    <w:rsid w:val="00BF3984"/>
    <w:rsid w:val="00BF4990"/>
    <w:rsid w:val="00BF6B5B"/>
    <w:rsid w:val="00C07ADB"/>
    <w:rsid w:val="00C12E27"/>
    <w:rsid w:val="00C15ECD"/>
    <w:rsid w:val="00C17A25"/>
    <w:rsid w:val="00C20C22"/>
    <w:rsid w:val="00C258E0"/>
    <w:rsid w:val="00C2678E"/>
    <w:rsid w:val="00C33F4F"/>
    <w:rsid w:val="00C64FC7"/>
    <w:rsid w:val="00C651B2"/>
    <w:rsid w:val="00C65FD1"/>
    <w:rsid w:val="00C745E1"/>
    <w:rsid w:val="00C80012"/>
    <w:rsid w:val="00C85EDC"/>
    <w:rsid w:val="00C92C41"/>
    <w:rsid w:val="00C93361"/>
    <w:rsid w:val="00C95824"/>
    <w:rsid w:val="00CA4769"/>
    <w:rsid w:val="00CA6055"/>
    <w:rsid w:val="00CB35A9"/>
    <w:rsid w:val="00CC0B0D"/>
    <w:rsid w:val="00CC3A81"/>
    <w:rsid w:val="00CC7F4A"/>
    <w:rsid w:val="00CD4242"/>
    <w:rsid w:val="00CF4941"/>
    <w:rsid w:val="00CF5168"/>
    <w:rsid w:val="00CF6601"/>
    <w:rsid w:val="00D048EF"/>
    <w:rsid w:val="00D06224"/>
    <w:rsid w:val="00D1218B"/>
    <w:rsid w:val="00D31B7C"/>
    <w:rsid w:val="00D33B12"/>
    <w:rsid w:val="00D4108B"/>
    <w:rsid w:val="00D458CF"/>
    <w:rsid w:val="00D47848"/>
    <w:rsid w:val="00D57C76"/>
    <w:rsid w:val="00D60A8A"/>
    <w:rsid w:val="00D618F1"/>
    <w:rsid w:val="00D864F7"/>
    <w:rsid w:val="00D87DA3"/>
    <w:rsid w:val="00D90314"/>
    <w:rsid w:val="00D929C3"/>
    <w:rsid w:val="00DB3B48"/>
    <w:rsid w:val="00DB4A26"/>
    <w:rsid w:val="00DB6A14"/>
    <w:rsid w:val="00DC3ADC"/>
    <w:rsid w:val="00DC5066"/>
    <w:rsid w:val="00DC64A7"/>
    <w:rsid w:val="00DD0BD5"/>
    <w:rsid w:val="00DD0D2C"/>
    <w:rsid w:val="00DD4A28"/>
    <w:rsid w:val="00DE2AD3"/>
    <w:rsid w:val="00DE333F"/>
    <w:rsid w:val="00DE4007"/>
    <w:rsid w:val="00DF3F1E"/>
    <w:rsid w:val="00DF5D7F"/>
    <w:rsid w:val="00DF5F25"/>
    <w:rsid w:val="00DF74CF"/>
    <w:rsid w:val="00E0749B"/>
    <w:rsid w:val="00E12411"/>
    <w:rsid w:val="00E205D7"/>
    <w:rsid w:val="00E23C97"/>
    <w:rsid w:val="00E30575"/>
    <w:rsid w:val="00E416E8"/>
    <w:rsid w:val="00E43815"/>
    <w:rsid w:val="00E474AE"/>
    <w:rsid w:val="00E47592"/>
    <w:rsid w:val="00E56ECB"/>
    <w:rsid w:val="00E67D94"/>
    <w:rsid w:val="00E75A25"/>
    <w:rsid w:val="00E80A55"/>
    <w:rsid w:val="00E82A30"/>
    <w:rsid w:val="00E84385"/>
    <w:rsid w:val="00E8618C"/>
    <w:rsid w:val="00EB636E"/>
    <w:rsid w:val="00ED7C76"/>
    <w:rsid w:val="00EE1135"/>
    <w:rsid w:val="00EE1B0B"/>
    <w:rsid w:val="00EE79FA"/>
    <w:rsid w:val="00EF0D5F"/>
    <w:rsid w:val="00EF3254"/>
    <w:rsid w:val="00EF734B"/>
    <w:rsid w:val="00F12498"/>
    <w:rsid w:val="00F13C6D"/>
    <w:rsid w:val="00F31146"/>
    <w:rsid w:val="00F444A5"/>
    <w:rsid w:val="00F46C16"/>
    <w:rsid w:val="00F51D7A"/>
    <w:rsid w:val="00F51ECB"/>
    <w:rsid w:val="00F51F4F"/>
    <w:rsid w:val="00F618E5"/>
    <w:rsid w:val="00F70D17"/>
    <w:rsid w:val="00F74CD6"/>
    <w:rsid w:val="00F75F78"/>
    <w:rsid w:val="00F763D9"/>
    <w:rsid w:val="00F8040C"/>
    <w:rsid w:val="00F829AA"/>
    <w:rsid w:val="00F8344E"/>
    <w:rsid w:val="00F85B06"/>
    <w:rsid w:val="00F91F12"/>
    <w:rsid w:val="00F9405A"/>
    <w:rsid w:val="00F94CD9"/>
    <w:rsid w:val="00FA1A1C"/>
    <w:rsid w:val="00FB3B28"/>
    <w:rsid w:val="00FB5C3D"/>
    <w:rsid w:val="00FC3013"/>
    <w:rsid w:val="00FC49D3"/>
    <w:rsid w:val="00FC49E2"/>
    <w:rsid w:val="00FC500B"/>
    <w:rsid w:val="00FD2C23"/>
    <w:rsid w:val="00FD4E12"/>
    <w:rsid w:val="00FD58D9"/>
    <w:rsid w:val="00FD7D19"/>
    <w:rsid w:val="00FF32EF"/>
    <w:rsid w:val="00FF7749"/>
    <w:rsid w:val="00FF7B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9F892A3"/>
  <w15:chartTrackingRefBased/>
  <w15:docId w15:val="{8237BE91-42A3-4032-81EB-9DD09349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w:hAnsi="Times"/>
      <w:noProof/>
      <w:sz w:val="24"/>
      <w:lang w:val="en-US" w:eastAsia="en-US"/>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ind w:left="440" w:hanging="440"/>
      <w:outlineLvl w:val="1"/>
    </w:pPr>
    <w:rPr>
      <w:i/>
    </w:rPr>
  </w:style>
  <w:style w:type="paragraph" w:styleId="Heading3">
    <w:name w:val="heading 3"/>
    <w:basedOn w:val="Normal"/>
    <w:next w:val="Normal"/>
    <w:qFormat/>
    <w:pPr>
      <w:keepNext/>
      <w:tabs>
        <w:tab w:val="left" w:pos="360"/>
        <w:tab w:val="left" w:leader="dot" w:pos="5040"/>
        <w:tab w:val="decimal" w:pos="6300"/>
        <w:tab w:val="right" w:pos="8280"/>
        <w:tab w:val="right" w:pos="8460"/>
      </w:tabs>
      <w:outlineLvl w:val="2"/>
    </w:p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tabs>
        <w:tab w:val="left" w:pos="440"/>
      </w:tabs>
      <w:ind w:left="440" w:hanging="440"/>
      <w:outlineLvl w:val="6"/>
    </w:pPr>
    <w:rPr>
      <w:b/>
    </w:rPr>
  </w:style>
  <w:style w:type="paragraph" w:styleId="Heading8">
    <w:name w:val="heading 8"/>
    <w:basedOn w:val="Normal"/>
    <w:next w:val="Normal"/>
    <w:qFormat/>
    <w:pPr>
      <w:keepNext/>
      <w:ind w:firstLine="90"/>
      <w:outlineLvl w:val="7"/>
    </w:pPr>
    <w:rPr>
      <w:rFonts w:ascii="Times New Roman" w:hAnsi="Times New Roman"/>
      <w:noProof w:val="0"/>
    </w:rPr>
  </w:style>
  <w:style w:type="paragraph" w:styleId="Heading9">
    <w:name w:val="heading 9"/>
    <w:basedOn w:val="Normal"/>
    <w:next w:val="Normal"/>
    <w:qFormat/>
    <w:pPr>
      <w:keepNext/>
      <w:tabs>
        <w:tab w:val="left" w:pos="360"/>
      </w:tabs>
      <w:ind w:left="800" w:hanging="80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Pr>
      <w:rFonts w:ascii="Bookman Old Style" w:hAnsi="Bookman Old Style"/>
      <w:sz w:val="64"/>
    </w:rPr>
  </w:style>
  <w:style w:type="paragraph" w:customStyle="1" w:styleId="maintext">
    <w:name w:val="maintext"/>
    <w:basedOn w:val="Normal"/>
    <w:autoRedefine/>
    <w:pPr>
      <w:ind w:left="2640"/>
    </w:pPr>
    <w:rPr>
      <w:rFonts w:ascii="Bookman Old Style" w:hAnsi="Bookman Old Style"/>
      <w:sz w:val="20"/>
    </w:rPr>
  </w:style>
  <w:style w:type="paragraph" w:customStyle="1" w:styleId="H2">
    <w:name w:val="H2"/>
    <w:basedOn w:val="maintext"/>
    <w:next w:val="maintext"/>
    <w:autoRedefine/>
    <w:rPr>
      <w:sz w:val="40"/>
    </w:rPr>
  </w:style>
  <w:style w:type="paragraph" w:styleId="BodyText">
    <w:name w:val="Body Text"/>
    <w:basedOn w:val="Normal"/>
    <w:pPr>
      <w:tabs>
        <w:tab w:val="left" w:pos="0"/>
      </w:tabs>
    </w:pPr>
  </w:style>
  <w:style w:type="paragraph" w:styleId="BodyTextIndent">
    <w:name w:val="Body Text Indent"/>
    <w:basedOn w:val="Normal"/>
    <w:pPr>
      <w:tabs>
        <w:tab w:val="left" w:pos="440"/>
      </w:tabs>
      <w:ind w:left="720" w:hanging="280"/>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2">
    <w:name w:val="Body Text Indent 2"/>
    <w:basedOn w:val="Normal"/>
    <w:pPr>
      <w:tabs>
        <w:tab w:val="left" w:pos="440"/>
        <w:tab w:val="left" w:leader="dot" w:pos="3600"/>
        <w:tab w:val="left" w:pos="5040"/>
        <w:tab w:val="left" w:pos="6480"/>
        <w:tab w:val="left" w:pos="7920"/>
      </w:tabs>
      <w:ind w:left="880" w:hanging="440"/>
    </w:pPr>
  </w:style>
  <w:style w:type="paragraph" w:styleId="BodyText2">
    <w:name w:val="Body Text 2"/>
    <w:basedOn w:val="Normal"/>
    <w:pPr>
      <w:tabs>
        <w:tab w:val="left" w:pos="440"/>
        <w:tab w:val="left" w:leader="dot" w:pos="5040"/>
        <w:tab w:val="decimal" w:pos="6300"/>
        <w:tab w:val="right" w:pos="8280"/>
        <w:tab w:val="right" w:pos="8460"/>
      </w:tabs>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39" w:hanging="439"/>
    </w:pPr>
  </w:style>
  <w:style w:type="paragraph" w:customStyle="1" w:styleId="Contents">
    <w:name w:val="Contents"/>
    <w:basedOn w:val="Heading4"/>
    <w:pPr>
      <w:tabs>
        <w:tab w:val="left" w:pos="1200"/>
        <w:tab w:val="left" w:pos="2160"/>
        <w:tab w:val="right" w:leader="dot" w:pos="6600"/>
        <w:tab w:val="left" w:pos="7200"/>
      </w:tabs>
    </w:pPr>
    <w:rPr>
      <w:b w:val="0"/>
      <w:sz w:val="24"/>
    </w:rPr>
  </w:style>
  <w:style w:type="paragraph" w:customStyle="1" w:styleId="FH">
    <w:name w:val="FH"/>
    <w:basedOn w:val="Normal"/>
    <w:pPr>
      <w:tabs>
        <w:tab w:val="left" w:pos="600"/>
      </w:tabs>
      <w:ind w:left="600" w:hanging="600"/>
    </w:pPr>
  </w:style>
  <w:style w:type="paragraph" w:customStyle="1" w:styleId="Tabletext">
    <w:name w:val="Table text"/>
    <w:basedOn w:val="Footer"/>
    <w:pPr>
      <w:tabs>
        <w:tab w:val="clear" w:pos="4320"/>
        <w:tab w:val="clear" w:pos="8640"/>
        <w:tab w:val="left" w:pos="1200"/>
        <w:tab w:val="right" w:leader="dot" w:pos="5160"/>
        <w:tab w:val="right" w:pos="6600"/>
        <w:tab w:val="right" w:pos="7920"/>
      </w:tabs>
      <w:suppressAutoHyphens/>
    </w:pPr>
    <w:rPr>
      <w:spacing w:val="-3"/>
    </w:rPr>
  </w:style>
  <w:style w:type="paragraph" w:customStyle="1" w:styleId="Bullet">
    <w:name w:val="Bullet"/>
    <w:basedOn w:val="Normal"/>
    <w:pPr>
      <w:numPr>
        <w:numId w:val="1"/>
      </w:numPr>
      <w:tabs>
        <w:tab w:val="clear" w:pos="360"/>
      </w:tabs>
      <w:ind w:left="679" w:hanging="240"/>
    </w:pPr>
  </w:style>
  <w:style w:type="table" w:styleId="TableGrid">
    <w:name w:val="Table Grid"/>
    <w:basedOn w:val="TableNormal"/>
    <w:uiPriority w:val="39"/>
    <w:rsid w:val="00FC49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06A5E"/>
    <w:rPr>
      <w:rFonts w:ascii="Tahoma" w:hAnsi="Tahoma" w:cs="Tahoma"/>
      <w:sz w:val="16"/>
      <w:szCs w:val="16"/>
    </w:rPr>
  </w:style>
  <w:style w:type="paragraph" w:customStyle="1" w:styleId="bceasln">
    <w:name w:val="bceas_ln"/>
    <w:basedOn w:val="Normal"/>
    <w:rsid w:val="00BA1464"/>
    <w:pPr>
      <w:widowControl w:val="0"/>
      <w:autoSpaceDE w:val="0"/>
      <w:autoSpaceDN w:val="0"/>
      <w:adjustRightInd w:val="0"/>
      <w:spacing w:after="60"/>
      <w:ind w:left="360" w:hanging="360"/>
    </w:pPr>
    <w:rPr>
      <w:rFonts w:ascii="Times New Roman" w:hAnsi="Times New Roman"/>
      <w:noProof w:val="0"/>
      <w:sz w:val="21"/>
      <w:szCs w:val="21"/>
    </w:rPr>
  </w:style>
  <w:style w:type="character" w:styleId="Strong">
    <w:name w:val="Strong"/>
    <w:qFormat/>
    <w:rsid w:val="00602B87"/>
    <w:rPr>
      <w:b/>
      <w:bCs/>
    </w:rPr>
  </w:style>
  <w:style w:type="paragraph" w:styleId="ListParagraph">
    <w:name w:val="List Paragraph"/>
    <w:basedOn w:val="Normal"/>
    <w:uiPriority w:val="34"/>
    <w:qFormat/>
    <w:rsid w:val="00E47592"/>
    <w:pPr>
      <w:ind w:left="720"/>
    </w:pPr>
  </w:style>
  <w:style w:type="character" w:styleId="CommentReference">
    <w:name w:val="annotation reference"/>
    <w:uiPriority w:val="99"/>
    <w:semiHidden/>
    <w:unhideWhenUsed/>
    <w:rsid w:val="00A1704C"/>
    <w:rPr>
      <w:sz w:val="16"/>
      <w:szCs w:val="16"/>
    </w:rPr>
  </w:style>
  <w:style w:type="paragraph" w:styleId="CommentText">
    <w:name w:val="annotation text"/>
    <w:basedOn w:val="Normal"/>
    <w:link w:val="CommentTextChar"/>
    <w:uiPriority w:val="99"/>
    <w:semiHidden/>
    <w:unhideWhenUsed/>
    <w:rsid w:val="00A1704C"/>
    <w:rPr>
      <w:sz w:val="20"/>
    </w:rPr>
  </w:style>
  <w:style w:type="character" w:customStyle="1" w:styleId="CommentTextChar">
    <w:name w:val="Comment Text Char"/>
    <w:link w:val="CommentText"/>
    <w:uiPriority w:val="99"/>
    <w:semiHidden/>
    <w:rsid w:val="00A1704C"/>
    <w:rPr>
      <w:rFonts w:ascii="Times" w:hAnsi="Times"/>
      <w:noProof/>
      <w:lang w:val="en-US" w:eastAsia="en-US"/>
    </w:rPr>
  </w:style>
  <w:style w:type="paragraph" w:styleId="CommentSubject">
    <w:name w:val="annotation subject"/>
    <w:basedOn w:val="CommentText"/>
    <w:next w:val="CommentText"/>
    <w:link w:val="CommentSubjectChar"/>
    <w:uiPriority w:val="99"/>
    <w:semiHidden/>
    <w:unhideWhenUsed/>
    <w:rsid w:val="00A1704C"/>
    <w:rPr>
      <w:b/>
      <w:bCs/>
    </w:rPr>
  </w:style>
  <w:style w:type="character" w:customStyle="1" w:styleId="CommentSubjectChar">
    <w:name w:val="Comment Subject Char"/>
    <w:link w:val="CommentSubject"/>
    <w:uiPriority w:val="99"/>
    <w:semiHidden/>
    <w:rsid w:val="00A1704C"/>
    <w:rPr>
      <w:rFonts w:ascii="Times" w:hAnsi="Times"/>
      <w:b/>
      <w:bCs/>
      <w:noProof/>
      <w:lang w:val="en-US" w:eastAsia="en-US"/>
    </w:rPr>
  </w:style>
  <w:style w:type="paragraph" w:customStyle="1" w:styleId="bceactxspace-noruleAssignments">
    <w:name w:val="bceac_tx.space-norule (Assignments)"/>
    <w:basedOn w:val="Normal"/>
    <w:rsid w:val="006D016B"/>
    <w:pPr>
      <w:widowControl w:val="0"/>
      <w:autoSpaceDE w:val="0"/>
      <w:autoSpaceDN w:val="0"/>
      <w:adjustRightInd w:val="0"/>
      <w:spacing w:before="360" w:line="240" w:lineRule="atLeast"/>
      <w:textAlignment w:val="center"/>
    </w:pPr>
    <w:rPr>
      <w:rFonts w:ascii="MinionPro-Regular" w:hAnsi="MinionPro-Regular" w:cs="MinionPro-Regular"/>
      <w:noProof w:val="0"/>
      <w:color w:val="000000"/>
      <w:sz w:val="21"/>
      <w:szCs w:val="21"/>
      <w:lang w:eastAsia="en-IN" w:bidi="he-IL"/>
    </w:rPr>
  </w:style>
  <w:style w:type="paragraph" w:customStyle="1" w:styleId="bceaclnAssignments">
    <w:name w:val="bceac_ln (Assignments)"/>
    <w:basedOn w:val="Normal"/>
    <w:rsid w:val="006C7C2F"/>
    <w:pPr>
      <w:widowControl w:val="0"/>
      <w:autoSpaceDE w:val="0"/>
      <w:autoSpaceDN w:val="0"/>
      <w:adjustRightInd w:val="0"/>
      <w:spacing w:before="40" w:line="240" w:lineRule="atLeast"/>
      <w:ind w:left="240" w:hanging="240"/>
      <w:textAlignment w:val="center"/>
    </w:pPr>
    <w:rPr>
      <w:rFonts w:ascii="MinionPro-Regular" w:hAnsi="MinionPro-Regular" w:cs="MinionPro-Regular"/>
      <w:noProof w:val="0"/>
      <w:color w:val="000000"/>
      <w:sz w:val="21"/>
      <w:szCs w:val="21"/>
      <w:lang w:eastAsia="en-IN" w:bidi="he-IL"/>
    </w:rPr>
  </w:style>
  <w:style w:type="paragraph" w:customStyle="1" w:styleId="bceacqdAssignments">
    <w:name w:val="bceac_qd (Assignments)"/>
    <w:basedOn w:val="Normal"/>
    <w:rsid w:val="008905A7"/>
    <w:pPr>
      <w:widowControl w:val="0"/>
      <w:autoSpaceDE w:val="0"/>
      <w:autoSpaceDN w:val="0"/>
      <w:adjustRightInd w:val="0"/>
      <w:spacing w:before="120" w:after="120" w:line="240" w:lineRule="atLeast"/>
      <w:ind w:left="480" w:right="480"/>
      <w:textAlignment w:val="center"/>
    </w:pPr>
    <w:rPr>
      <w:rFonts w:ascii="MinionPro-Regular" w:hAnsi="MinionPro-Regular" w:cs="MinionPro-Regular"/>
      <w:noProof w:val="0"/>
      <w:color w:val="000000"/>
      <w:sz w:val="21"/>
      <w:szCs w:val="21"/>
      <w:lang w:eastAsia="en-IN" w:bidi="he-IL"/>
    </w:rPr>
  </w:style>
  <w:style w:type="paragraph" w:customStyle="1" w:styleId="bceactxspaceAssignments">
    <w:name w:val="bceac_tx.space (Assignments)"/>
    <w:basedOn w:val="Normal"/>
    <w:rsid w:val="00BD6AD8"/>
    <w:pPr>
      <w:widowControl w:val="0"/>
      <w:pBdr>
        <w:top w:val="single" w:sz="4" w:space="15" w:color="CA6B18"/>
      </w:pBdr>
      <w:autoSpaceDE w:val="0"/>
      <w:autoSpaceDN w:val="0"/>
      <w:adjustRightInd w:val="0"/>
      <w:spacing w:before="360" w:line="240" w:lineRule="atLeast"/>
      <w:textAlignment w:val="center"/>
    </w:pPr>
    <w:rPr>
      <w:rFonts w:ascii="MinionPro-Regular" w:hAnsi="MinionPro-Regular" w:cs="MinionPro-Regular"/>
      <w:noProof w:val="0"/>
      <w:color w:val="000000"/>
      <w:sz w:val="21"/>
      <w:szCs w:val="21"/>
      <w:lang w:eastAsia="en-IN" w:bidi="he-IL"/>
    </w:rPr>
  </w:style>
  <w:style w:type="character" w:styleId="Hyperlink">
    <w:name w:val="Hyperlink"/>
    <w:uiPriority w:val="99"/>
    <w:unhideWhenUsed/>
    <w:rsid w:val="00DE4007"/>
    <w:rPr>
      <w:color w:val="0563C1"/>
      <w:u w:val="single"/>
    </w:rPr>
  </w:style>
  <w:style w:type="character" w:styleId="UnresolvedMention">
    <w:name w:val="Unresolved Mention"/>
    <w:uiPriority w:val="99"/>
    <w:semiHidden/>
    <w:unhideWhenUsed/>
    <w:rsid w:val="00DE4007"/>
    <w:rPr>
      <w:color w:val="605E5C"/>
      <w:shd w:val="clear" w:color="auto" w:fill="E1DFDD"/>
    </w:rPr>
  </w:style>
  <w:style w:type="character" w:styleId="FollowedHyperlink">
    <w:name w:val="FollowedHyperlink"/>
    <w:uiPriority w:val="99"/>
    <w:semiHidden/>
    <w:unhideWhenUsed/>
    <w:rsid w:val="00284FC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56371">
      <w:bodyDiv w:val="1"/>
      <w:marLeft w:val="0"/>
      <w:marRight w:val="0"/>
      <w:marTop w:val="0"/>
      <w:marBottom w:val="0"/>
      <w:divBdr>
        <w:top w:val="none" w:sz="0" w:space="0" w:color="auto"/>
        <w:left w:val="none" w:sz="0" w:space="0" w:color="auto"/>
        <w:bottom w:val="none" w:sz="0" w:space="0" w:color="auto"/>
        <w:right w:val="none" w:sz="0" w:space="0" w:color="auto"/>
      </w:divBdr>
    </w:div>
    <w:div w:id="185915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eech&amp;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DD102B3B4944EB43D35298DBF950E" ma:contentTypeVersion="14" ma:contentTypeDescription="Create a new document." ma:contentTypeScope="" ma:versionID="16201e55d8f3bec8e94a4f49091f5719">
  <xsd:schema xmlns:xsd="http://www.w3.org/2001/XMLSchema" xmlns:xs="http://www.w3.org/2001/XMLSchema" xmlns:p="http://schemas.microsoft.com/office/2006/metadata/properties" xmlns:ns2="d392191d-d671-43b4-a89f-bbe8505d5b1c" xmlns:ns3="d91be938-6b7b-4ae5-95c2-b2ab7b3455c5" targetNamespace="http://schemas.microsoft.com/office/2006/metadata/properties" ma:root="true" ma:fieldsID="af0a7e29c0f55d53f054316ed87599ff" ns2:_="" ns3:_="">
    <xsd:import namespace="d392191d-d671-43b4-a89f-bbe8505d5b1c"/>
    <xsd:import namespace="d91be938-6b7b-4ae5-95c2-b2ab7b3455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2191d-d671-43b4-a89f-bbe8505d5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8617a1-beef-4e24-867f-51551f54cf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1be938-6b7b-4ae5-95c2-b2ab7b3455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8b6c7ff-edc1-4ff2-8cd1-1c2752929019}" ma:internalName="TaxCatchAll" ma:showField="CatchAllData" ma:web="d91be938-6b7b-4ae5-95c2-b2ab7b345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91be938-6b7b-4ae5-95c2-b2ab7b3455c5" xsi:nil="true"/>
    <lcf76f155ced4ddcb4097134ff3c332f xmlns="d392191d-d671-43b4-a89f-bbe8505d5b1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8928A-3431-4079-BAE3-8264D412B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2191d-d671-43b4-a89f-bbe8505d5b1c"/>
    <ds:schemaRef ds:uri="d91be938-6b7b-4ae5-95c2-b2ab7b345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1D4E8-7B1F-45C3-BDCC-B1996E03223B}">
  <ds:schemaRefs>
    <ds:schemaRef ds:uri="http://schemas.openxmlformats.org/officeDocument/2006/bibliography"/>
  </ds:schemaRefs>
</ds:datastoreItem>
</file>

<file path=customXml/itemProps3.xml><?xml version="1.0" encoding="utf-8"?>
<ds:datastoreItem xmlns:ds="http://schemas.openxmlformats.org/officeDocument/2006/customXml" ds:itemID="{031CD85C-0E9E-4872-A0DF-F2E5A529FA94}">
  <ds:schemaRefs>
    <ds:schemaRef ds:uri="http://schemas.microsoft.com/office/2006/metadata/properties"/>
    <ds:schemaRef ds:uri="http://schemas.microsoft.com/office/infopath/2007/PartnerControls"/>
    <ds:schemaRef ds:uri="d91be938-6b7b-4ae5-95c2-b2ab7b3455c5"/>
    <ds:schemaRef ds:uri="d392191d-d671-43b4-a89f-bbe8505d5b1c"/>
  </ds:schemaRefs>
</ds:datastoreItem>
</file>

<file path=customXml/itemProps4.xml><?xml version="1.0" encoding="utf-8"?>
<ds:datastoreItem xmlns:ds="http://schemas.openxmlformats.org/officeDocument/2006/customXml" ds:itemID="{BC3FE96E-9393-4111-899D-378FF683F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Beech&amp;C</Template>
  <TotalTime>14</TotalTime>
  <Pages>29</Pages>
  <Words>6087</Words>
  <Characters>34702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Questions</vt:lpstr>
    </vt:vector>
  </TitlesOfParts>
  <Company>McgrawHill Ryerson Ltd</Company>
  <LinksUpToDate>false</LinksUpToDate>
  <CharactersWithSpaces>40708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dc:title>
  <dc:subject/>
  <dc:creator>MHR</dc:creator>
  <cp:keywords/>
  <cp:lastModifiedBy>Escobar, Krisha</cp:lastModifiedBy>
  <cp:revision>7</cp:revision>
  <cp:lastPrinted>2016-02-08T01:45:00Z</cp:lastPrinted>
  <dcterms:created xsi:type="dcterms:W3CDTF">2024-01-12T17:16:00Z</dcterms:created>
  <dcterms:modified xsi:type="dcterms:W3CDTF">2025-04-29T17:40:00Z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0x0101007BDDD102B3B4944EB43D35298DBF950E</vt:lpwstr>
  </property>
  <property fmtid="{D5CDD505-2E9C-101B-9397-08002B2CF9AE}" pid="3" name="MediaServiceImageTags">
    <vt:lpwstr/>
  </property>
</Properties>
</file>