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16.1 on Linux -->
    <w:sectPr>
      <w:footerReference w:type="default" r:id="rId3"/>
      <w:type w:val="continuous"/>
      <w:pgMar w:top="1440" w:right="1440" w:bottom="1440" w:left="1440"/>
      <w:cols w:space="720"/>
    </w:sectPr>
    <w:p>
      <w:pPr>
        <w:keepNext w:val="true"/>
        <w:keepLines w:val="true"/>
        <w:spacing w:after="0"/>
        <w:jc w:val="left"/>
      </w:pPr>
      <w:r>
        <w:rPr>
          <w:rFonts w:ascii="Times New Roman"/>
          <w:sz w:val="28"/>
        </w:rPr>
        <w:t>Student name:__________</w:t>
      </w:r>
    </w:p>
    <w:p>
      <w:pPr>
        <w:pStyle w:val="ListParagraph"/>
        <w:keepNext w:val="true"/>
        <w:keepLines w:val="true"/>
        <w:numPr>
          <w:ilvl w:val="0"/>
          <w:numId w:val="2"/>
        </w:numPr>
        <w:spacing w:after="0"/>
        <w:jc w:val="left"/>
      </w:pPr>
      <w:r>
        <w:rPr>
          <w:rFonts w:ascii="Times New Roman"/>
          <w:b w:val="false"/>
          <w:i w:val="false"/>
          <w:color w:val="000000"/>
          <w:sz w:val="24"/>
        </w:rPr>
        <w:t>Baker Company owns 15% of the common stock of Charlie Corporation and used the fair-value method to account for this investment. Charlie reported net income of $120,000 for 2024 and paid dividends of $70,000 on October 1, 2024. How much income should Baker recognize on this investment in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Loeffler Company owns 35% of the common stock of Tetter Company and uses the equity method to account for the investment. During 2024, Tetter reported income of $260,000 and paid dividends of $90,000. There is no amortization associated with the investment. During 2024, how much income should Loeffler recognize related to this investment?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$31,500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$59,500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On January 1, 2024, Lee Company paid $1,870,000 for 80,000 shares of Thomas Company’s voting common stock which represents a 45% investment. No allocation to goodwill or other specific account was necessary. Significant influence over Thomas was achieved by this acquisition. Thomas distributed a dividend of $2.00 per share during 2024 and reported net income of $720,000. What was the balance in the </w:t>
      </w:r>
      <w:r>
        <w:rPr>
          <w:rFonts w:ascii="Times New Roman"/>
          <w:b w:val="false"/>
          <w:i/>
          <w:color w:val="000000"/>
          <w:sz w:val="24"/>
        </w:rPr>
        <w:t>Investment in Thomas Company</w:t>
      </w:r>
      <w:r>
        <w:rPr>
          <w:rFonts w:ascii="Times New Roman"/>
          <w:b w:val="false"/>
          <w:i w:val="false"/>
          <w:color w:val="000000"/>
          <w:sz w:val="24"/>
        </w:rPr>
        <w:t xml:space="preserve"> account found in the financial records of Lee as of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$2,114,000.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$2,194,000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$2,354,000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$2,158,000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$2,034,000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necessary condition to use the equity method of reporting for an equity investment is that the investor company must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have the ability to exercise significant influence over the operating and financial policies of the investee.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own at least 30% of the investee's voting stock.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possess a controlling interest in the investee's voting stock.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not have the ability to exercise significant influence over the operating and financial policies of the investee.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2022, Dermot Company purchased 15% of the voting common stock of Horne Corporation. On January 1, 2024, Dermot purchased 28% of Horne’s voting common stock. If Dermot achieves significant influence with this new investment, how must Dermot account for the change to the equity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must use the equity method for 2024 but should make no changes in its financial statements for 2023 and 2022.</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should prepare consolidated financial statements for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must restate the financial statements for 2023 and 2022 as if the equity method had been used for those two years.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should record a prior period adjustment at the beginning of 2024 but should not restate the financial statements for 2023 and 2022.</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must restate the financial statements for 2023 as if the equity method had been used then.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During January 2023, Nelson, Incorporated acquired 30% of the outstanding common stock of Fuel Company for $1,600,000. This investment gave Nelson the ability to exercise significant influence over Fuel. Fuel’s assets on that date were recorded at $7,200,000 with liabilities of $3,400,000. Any excess of cost over book value of Nelson’s investment was attributed to unrecorded patents having a remaining useful life of ten years.</w:t>
      </w:r>
      <w:r>
        <w:rPr>
          <w:rFonts w:ascii="Times New Roman"/>
          <w:sz w:val="24"/>
        </w:rPr>
        <w:br/>
      </w:r>
      <w:r>
        <w:rPr>
          <w:rFonts w:ascii="Times New Roman"/>
          <w:b w:val="false"/>
          <w:i w:val="false"/>
          <w:color w:val="000000"/>
          <w:sz w:val="24"/>
        </w:rPr>
        <w:t xml:space="preserve">In 2023, Fuel reported net income of $650,000. For 2024, Fuel reported net income of $800,000. Dividends of $250,000 were paid in each of these two years. What was the reported balance of Nelson’s </w:t>
      </w:r>
      <w:r>
        <w:rPr>
          <w:rFonts w:ascii="Times New Roman"/>
          <w:b w:val="false"/>
          <w:i/>
          <w:color w:val="000000"/>
          <w:sz w:val="24"/>
        </w:rPr>
        <w:t xml:space="preserve">Investment in Fuel Company </w:t>
      </w:r>
      <w:r>
        <w:rPr>
          <w:rFonts w:ascii="Times New Roman"/>
          <w:b w:val="false"/>
          <w:i w:val="false"/>
          <w:color w:val="000000"/>
          <w:sz w:val="24"/>
        </w:rPr>
        <w:t>at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$1,793,000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$1,885,000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$1,943,000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$1,977,000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$1,054,300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Bangle Company purchased 30% of the voting common stock of Sleat Corporation for $1,000,000. Any excess of cost over book value was assigned to goodwill. During 2024, Sleat paid dividends of $24,000 and reported a net loss of $140,000. What is the balance in the investment account on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$950,800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$958,000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$836,000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$990,100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$956,400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Halpert Incorporated acquired 30% of Schrute Corporation. Halpert used the equity method to account for the investment. On January 1, 2025, Halpert sold two-thirds of its investment in Schrute. It no longer had the ability to exercise significant influence over the operations of Schrute. How should Halpert account for this change?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Halpert should continue to use the equity method to maintain consistency in its financial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Halpert should restate the prior years’ financial statements and change the balance in the investment account as if the fair-value method had been used since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Halpert has the option of using either the equity method or the fair-value method for 2024 and future years.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Halpert should report the effect of the change from the equity to the fair-value method as a retrospective change in accounting principle.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Halpert should use the fair-value method for 2025 and future years, but should not make a retrospective adjustment to the investment account.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Kane Incorporated owns 30% of Woodhouse Company and applies the equity method. During the current year, Kane bought inventory costing $71,500 and then sold it to Woodhouse for $130,000. At year-end, only $30,000 of merchandise was still being held by Woodhouse. What amount of intra-entity gross profit must be deferred by Kane?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$13,500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$17,550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$5,600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2024, Snow Company purchased 40,000 shares (40%) of the common stock of Walker Corporation, paying $900,000. There was no goodwill or other cost allocation associated with the investment. Snow has significant influence over Walker. During 2024, Walker reported income of $240,000 and paid dividends of $75,000. On January 2, 2025, Snow sold 5,000 shares for $125,000. What was the balance in the investment account after the shares had been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$871,500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$845,250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$761,250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$897,250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$950,250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2024, Madison Corporation purchased 30% of the voting common stock of Huntsville Company, paying $3,000,000. Madison decided to use the equity method to account for this investment. At the time of the investment, Huntsville’s total stockholders’ equity was $8,000,000. Madison gathered the following information about Huntsville’s assets and liabilities:</w:t>
      </w:r>
      <w:r>
        <w:rPr>
          <w:rFonts w:ascii="Times New Roman"/>
          <w:sz w:val="24"/>
        </w:rPr>
      </w:r>
    </w:p>
    <w:tbl>
      <w:tblPr>
        <w:jc w:val="left"/>
        <w:tblInd w:w="360" w:type="dxa"/>
        <w:tblLayout w:type="autofit"/>
      </w:tblPr>
      <w:tr>
        <w:trPr>
          <w:cantSplit w:val="true"/>
        </w:trPr>
        <w:tc>
          <w:tcPr>
            <w:tcW w:w="5086" w:type="dxa"/>
            <w:tcBorders/>
            <w:tcMar>
              <w:top w:w="15" w:type="dxa"/>
              <w:left w:w="225" w:type="dxa"/>
              <w:bottom w:w="15" w:type="dxa"/>
              <w:right w:w="15" w:type="dxa"/>
            </w:tcMar>
            <w:vAlign w:val="top"/>
          </w:tcPr>
          <w:p>
            <w:pPr>
              <w:keepNext w:val="true"/>
              <w:keepLines w:val="true"/>
            </w:pPr>
          </w:p>
        </w:tc>
        <w:tc>
          <w:tcPr>
            <w:tcW w:w="255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Book Value</w:t>
            </w:r>
          </w:p>
        </w:tc>
        <w:tc>
          <w:tcPr>
            <w:tcW w:w="255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Fair Value</w:t>
            </w:r>
          </w:p>
        </w:tc>
      </w:tr>
      <w:tr>
        <w:trPr>
          <w:cantSplit w:val="true"/>
        </w:trPr>
        <w:tc>
          <w:tcPr>
            <w:tcW w:w="50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 (10-year life)</w:t>
            </w:r>
          </w:p>
        </w:tc>
        <w:tc>
          <w:tcPr>
            <w:tcW w:w="2557"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$ 400,000</w:t>
            </w:r>
          </w:p>
        </w:tc>
        <w:tc>
          <w:tcPr>
            <w:tcW w:w="2557"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$ 600,000</w:t>
            </w:r>
          </w:p>
        </w:tc>
      </w:tr>
      <w:tr>
        <w:trPr>
          <w:cantSplit w:val="true"/>
        </w:trPr>
        <w:tc>
          <w:tcPr>
            <w:tcW w:w="50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 (5-year life)</w:t>
            </w:r>
          </w:p>
        </w:tc>
        <w:tc>
          <w:tcPr>
            <w:tcW w:w="2557"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$ 1,200,000</w:t>
            </w:r>
          </w:p>
        </w:tc>
        <w:tc>
          <w:tcPr>
            <w:tcW w:w="2557"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$ 1,400,000</w:t>
            </w:r>
          </w:p>
        </w:tc>
      </w:tr>
      <w:tr>
        <w:trPr>
          <w:cantSplit w:val="true"/>
        </w:trPr>
        <w:tc>
          <w:tcPr>
            <w:tcW w:w="508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Franchises (8-year life)</w:t>
            </w:r>
          </w:p>
        </w:tc>
        <w:tc>
          <w:tcPr>
            <w:tcW w:w="2557"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$ 0</w:t>
            </w:r>
          </w:p>
        </w:tc>
        <w:tc>
          <w:tcPr>
            <w:tcW w:w="2557"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$ 480,000</w:t>
            </w:r>
          </w:p>
        </w:tc>
      </w:tr>
    </w:tbl>
    <w:p>
      <w:pPr>
        <w:keepNext w:val="true"/>
        <w:keepLines w:val="true"/>
        <w:spacing w:after="0"/>
        <w:ind w:left="360"/>
        <w:jc w:val="left"/>
      </w:pPr>
      <w:r>
        <w:rPr>
          <w:rFonts w:ascii="Times New Roman"/>
          <w:b w:val="false"/>
          <w:i w:val="false"/>
          <w:color w:val="000000"/>
          <w:sz w:val="24"/>
        </w:rPr>
        <w:t>For all other assets and liabilities, book value and fair value were equal. Any excess of cost over fair value was attributed to goodwill, which has not been impaired.</w:t>
      </w:r>
      <w:r>
        <w:rPr>
          <w:rFonts w:ascii="Times New Roman"/>
          <w:sz w:val="24"/>
        </w:rPr>
        <w:br/>
      </w:r>
      <w:r>
        <w:rPr>
          <w:rFonts w:ascii="Times New Roman"/>
          <w:b w:val="false"/>
          <w:i w:val="false"/>
          <w:color w:val="000000"/>
          <w:sz w:val="24"/>
        </w:rPr>
        <w:t>What is the amount of goodwill associated with the investment?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$264,000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$336,000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$480,000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2024, Madison Corporation purchased 30% of the voting common stock of Huntsville Company, paying $3,000,000. Madison decided to use the equity method to account for this investment. At the time of the investment, Huntsville’s total stockholders’ equity was $8,000,000. Madison gathered the following information about Huntsville’s assets and liabilities:</w:t>
      </w:r>
      <w:r>
        <w:rPr>
          <w:rFonts w:ascii="Times New Roman"/>
          <w:sz w:val="24"/>
        </w:rPr>
      </w:r>
    </w:p>
    <w:tbl>
      <w:tblPr>
        <w:jc w:val="left"/>
        <w:tblInd w:w="360" w:type="dxa"/>
        <w:tblLayout w:type="autofit"/>
      </w:tblPr>
      <w:tr>
        <w:trPr>
          <w:cantSplit w:val="true"/>
        </w:trPr>
        <w:tc>
          <w:tcPr>
            <w:tcW w:w="7073" w:type="dxa"/>
            <w:tcBorders/>
            <w:tcMar>
              <w:top w:w="15" w:type="dxa"/>
              <w:left w:w="225" w:type="dxa"/>
              <w:bottom w:w="15" w:type="dxa"/>
              <w:right w:w="15" w:type="dxa"/>
            </w:tcMar>
            <w:vAlign w:val="top"/>
          </w:tcPr>
          <w:p>
            <w:pPr>
              <w:keepNext w:val="true"/>
              <w:keepLines w:val="true"/>
            </w:pPr>
          </w:p>
        </w:tc>
        <w:tc>
          <w:tcPr>
            <w:tcW w:w="2666"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Book Value</w:t>
            </w:r>
          </w:p>
        </w:tc>
        <w:tc>
          <w:tcPr>
            <w:tcW w:w="2661"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Fair Value</w:t>
            </w:r>
          </w:p>
        </w:tc>
      </w:tr>
      <w:tr>
        <w:trPr>
          <w:cantSplit w:val="true"/>
        </w:trPr>
        <w:tc>
          <w:tcPr>
            <w:tcW w:w="707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 (10-year life)</w:t>
            </w:r>
          </w:p>
        </w:tc>
        <w:tc>
          <w:tcPr>
            <w:tcW w:w="2666"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$ 400,000</w:t>
            </w:r>
          </w:p>
        </w:tc>
        <w:tc>
          <w:tcPr>
            <w:tcW w:w="2661"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$ 600,000</w:t>
            </w:r>
          </w:p>
        </w:tc>
      </w:tr>
      <w:tr>
        <w:trPr>
          <w:cantSplit w:val="true"/>
        </w:trPr>
        <w:tc>
          <w:tcPr>
            <w:tcW w:w="707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 (5-year life)</w:t>
            </w:r>
          </w:p>
        </w:tc>
        <w:tc>
          <w:tcPr>
            <w:tcW w:w="2666"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$ 1,200,000</w:t>
            </w:r>
          </w:p>
        </w:tc>
        <w:tc>
          <w:tcPr>
            <w:tcW w:w="2661"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$ 1,400,000</w:t>
            </w:r>
          </w:p>
        </w:tc>
      </w:tr>
      <w:tr>
        <w:trPr>
          <w:cantSplit w:val="true"/>
        </w:trPr>
        <w:tc>
          <w:tcPr>
            <w:tcW w:w="707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Franchises (8-year life)</w:t>
            </w:r>
          </w:p>
        </w:tc>
        <w:tc>
          <w:tcPr>
            <w:tcW w:w="2666"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$ 0</w:t>
            </w:r>
          </w:p>
        </w:tc>
        <w:tc>
          <w:tcPr>
            <w:tcW w:w="2661"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$ 480,000</w:t>
            </w:r>
          </w:p>
        </w:tc>
      </w:tr>
    </w:tbl>
    <w:p>
      <w:pPr>
        <w:keepNext w:val="true"/>
        <w:keepLines w:val="true"/>
        <w:spacing w:after="0"/>
        <w:ind w:left="360"/>
        <w:jc w:val="left"/>
      </w:pPr>
      <w:r>
        <w:rPr>
          <w:rFonts w:ascii="Times New Roman"/>
          <w:b w:val="false"/>
          <w:i w:val="false"/>
          <w:color w:val="000000"/>
          <w:sz w:val="24"/>
        </w:rPr>
        <w:t>For all other assets and liabilities, book value and fair value were equal. Any excess of cost over fair value was attributed to goodwill, which has not been impaired.</w:t>
      </w:r>
      <w:r>
        <w:rPr>
          <w:rFonts w:ascii="Times New Roman"/>
          <w:sz w:val="24"/>
        </w:rPr>
        <w:br/>
      </w:r>
      <w:r>
        <w:rPr>
          <w:rFonts w:ascii="Times New Roman"/>
          <w:b w:val="false"/>
          <w:i w:val="false"/>
          <w:color w:val="000000"/>
          <w:sz w:val="24"/>
        </w:rPr>
        <w:t>For 2024, what is the total amount of excess amortization for Madison’s 30% investment in Huntsville?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Town Company appropriately uses the equity method to account for its investment in Country Corporation. As of the end of 2024, Country’s common stock had suffered a significant decline in fair value, which is expected to recover over the next several months. How should Town account for the decline in value?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Town should switch to the fair-value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 accounting because the decline in fair value is temporary.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Town should decrease the balance in the investment account to the current value and recognize a loss on the income statement.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Town should not record its share of Country’s 2024 earnings until the decline in the fair value of the stock has been recovered.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Town should decrease the balance in the investment account to the current value and recognize an unrealized loss on the balance sheet.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An </w:t>
      </w:r>
      <w:r>
        <w:rPr>
          <w:rFonts w:ascii="Times New Roman"/>
          <w:b w:val="false"/>
          <w:i/>
          <w:color w:val="000000"/>
          <w:sz w:val="24"/>
        </w:rPr>
        <w:t>upstream</w:t>
      </w:r>
      <w:r>
        <w:rPr>
          <w:rFonts w:ascii="Times New Roman"/>
          <w:b w:val="false"/>
          <w:i w:val="false"/>
          <w:color w:val="000000"/>
          <w:sz w:val="24"/>
        </w:rPr>
        <w:t xml:space="preserve"> sale of inventory is a sale: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Between subsidiaries owned by a common parent.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With the transfer of goods scheduled by contract to occur on a specified future date.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 which the goods are physically transported by boat from a subsidiary to its parent.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Made by the investor to the investee.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Made by the investee to the investor.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Borgin Incorporated owns 30% of the outstanding voting common stock of Burkes Company and has the ability to significantly influence the investee’s operations and decision-making. On January 1, 2024, the balance in the </w:t>
      </w:r>
      <w:r>
        <w:rPr>
          <w:rFonts w:ascii="Times New Roman"/>
          <w:b w:val="false"/>
          <w:i/>
          <w:color w:val="000000"/>
          <w:sz w:val="24"/>
        </w:rPr>
        <w:t xml:space="preserve">Investment in Burkes Company </w:t>
      </w:r>
      <w:r>
        <w:rPr>
          <w:rFonts w:ascii="Times New Roman"/>
          <w:b w:val="false"/>
          <w:i w:val="false"/>
          <w:color w:val="000000"/>
          <w:sz w:val="24"/>
        </w:rPr>
        <w:t>account was $402,000. Amortization associated with the purchase of this investment is $8,000 per year. During 2024, Burkes earned income of $108,000 and paid cash dividends of $36,000. Previously in 2023, Burkes had sold inventory costing $28,800 to Borgin for $48,000. All but 25% of this merchandise was consumed by Borgin during 2023. The remainder was used during the first few weeks of 2024. Additional sales were made to Borgin in 2024; inventory costing $33,600 was transferred at a price of $60,000. Of this total, 40% was not consumed until 2025.</w:t>
      </w:r>
      <w:r>
        <w:rPr>
          <w:rFonts w:ascii="Times New Roman"/>
          <w:sz w:val="24"/>
        </w:rPr>
        <w:br/>
      </w:r>
      <w:r>
        <w:rPr>
          <w:rFonts w:ascii="Times New Roman"/>
          <w:b w:val="false"/>
          <w:i w:val="false"/>
          <w:color w:val="000000"/>
          <w:sz w:val="24"/>
        </w:rPr>
        <w:t xml:space="preserve">What amount of </w:t>
      </w:r>
      <w:r>
        <w:rPr>
          <w:rFonts w:ascii="Times New Roman"/>
          <w:b w:val="false"/>
          <w:i/>
          <w:color w:val="000000"/>
          <w:sz w:val="24"/>
        </w:rPr>
        <w:t>equity income</w:t>
      </w:r>
      <w:r>
        <w:rPr>
          <w:rFonts w:ascii="Times New Roman"/>
          <w:b w:val="false"/>
          <w:i w:val="false"/>
          <w:color w:val="000000"/>
          <w:sz w:val="24"/>
        </w:rPr>
        <w:t xml:space="preserve"> would Borgin have recognized in 2024 from its ownership interest in Burkes?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$19,792</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$27,640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$22,672</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$21,748</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Borgin Incorporated owns 30% of the outstanding voting common stock of Burkes Company and has the ability to significantly influence the investee’s operations and decision-making. On January 1, 2024, the balance in the </w:t>
      </w:r>
      <w:r>
        <w:rPr>
          <w:rFonts w:ascii="Times New Roman"/>
          <w:b w:val="false"/>
          <w:i/>
          <w:color w:val="000000"/>
          <w:sz w:val="24"/>
        </w:rPr>
        <w:t>Investment in Burkes Company</w:t>
      </w:r>
      <w:r>
        <w:rPr>
          <w:rFonts w:ascii="Times New Roman"/>
          <w:b w:val="false"/>
          <w:i w:val="false"/>
          <w:color w:val="000000"/>
          <w:sz w:val="24"/>
        </w:rPr>
        <w:t xml:space="preserve"> account was $402,000. Amortization associated with the purchase of this investment is $8,000 per year. During 2024, Burkes earned income of $108,000 and paid cash dividends of $36,000. Previously in 2023, Burkes had sold inventory costing $28,800 to Borgin for $48,000. All but 25% of this merchandise was consumed by Borgin during 2023. The remainder was used during the first few weeks of 2024. Additional sales were made to Borgin in 2024; inventory costing $33,600 was transferred at a price of $60,000. Of this total, 40% was not consumed until 2025.</w:t>
      </w:r>
      <w:r>
        <w:rPr>
          <w:rFonts w:ascii="Times New Roman"/>
          <w:sz w:val="24"/>
        </w:rPr>
        <w:br/>
      </w:r>
      <w:r>
        <w:rPr>
          <w:rFonts w:ascii="Times New Roman"/>
          <w:b w:val="false"/>
          <w:i w:val="false"/>
          <w:color w:val="000000"/>
          <w:sz w:val="24"/>
        </w:rPr>
        <w:t xml:space="preserve">What was the balance in the </w:t>
      </w:r>
      <w:r>
        <w:rPr>
          <w:rFonts w:ascii="Times New Roman"/>
          <w:b w:val="false"/>
          <w:i/>
          <w:color w:val="000000"/>
          <w:sz w:val="24"/>
        </w:rPr>
        <w:t>Investment in Burkes Company</w:t>
      </w:r>
      <w:r>
        <w:rPr>
          <w:rFonts w:ascii="Times New Roman"/>
          <w:b w:val="false"/>
          <w:i w:val="false"/>
          <w:color w:val="000000"/>
          <w:sz w:val="24"/>
        </w:rPr>
        <w:t xml:space="preserve"> account at the end of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$401,136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$413,872</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$418,840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$412,432</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$410,148</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Corzine Incorporated acquired 15% of Hammon Company’s outstanding common stock for $62,400 and did not exercise significant influence. Hammon earned net income of $96,000 in 2024 and paid dividends of $36,000. The fair value of Corzine’s investment was $80,000 at December 31, 2024. On January 3, 2025, Corzine bought an additional 10% of Hammon for $54,000. This second purchase gave Corzine the ability to significantly influence the decision making of Hammon. During 2025, Hammon earned $120,000 and paid $48,000 in dividends. As of December 31, 2025, Hammon reported a net book value of $468,000. At the date of the second purchase, Corzine concluded that Hammon Company’s book values approximated fair values and attributed any excess cost to goodwill.</w:t>
      </w:r>
      <w:r>
        <w:rPr>
          <w:rFonts w:ascii="Times New Roman"/>
          <w:sz w:val="24"/>
        </w:rPr>
        <w:br/>
      </w:r>
      <w:r>
        <w:rPr>
          <w:rFonts w:ascii="Times New Roman"/>
          <w:b w:val="false"/>
          <w:i w:val="false"/>
          <w:color w:val="000000"/>
          <w:sz w:val="24"/>
        </w:rPr>
        <w:t xml:space="preserve">On Corzine’s December 31, 2025 balance sheet, what balance was reported for the </w:t>
      </w:r>
      <w:r>
        <w:rPr>
          <w:rFonts w:ascii="Times New Roman"/>
          <w:b w:val="false"/>
          <w:i/>
          <w:color w:val="000000"/>
          <w:sz w:val="24"/>
        </w:rPr>
        <w:t>Investment in Hammon Company</w:t>
      </w:r>
      <w:r>
        <w:rPr>
          <w:rFonts w:ascii="Times New Roman"/>
          <w:b w:val="false"/>
          <w:i w:val="false"/>
          <w:color w:val="000000"/>
          <w:sz w:val="24"/>
        </w:rPr>
        <w:t xml:space="preserve"> account?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$117,000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$143,400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$134,400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$141,200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Corzine Incorporated acquired 15% of Hammon Company’s outstanding common stock for $62,400 and did not exercise significant influence. Hammon earned net income of $96,000 in 2024 and paid dividends of $36,000. The fair value of Corzine’s investment was $80,000 at December 31, 2024. On January 3, 2025, Corzine bought an additional 10% of Hammon for $54,000. This second purchase gave Corzine the ability to significantly influence the decision making of Hammon. During 2025, Hammon earned $120,000 and paid $48,000 in dividends. As of December 31, 2025, Hammon reported a net book value of $468,000. At the date of the second purchase, Corzine concluded that Hammon Company’s book values approximated fair values and attributed any excess cost to goodwill.</w:t>
      </w:r>
      <w:r>
        <w:rPr>
          <w:rFonts w:ascii="Times New Roman"/>
          <w:sz w:val="24"/>
        </w:rPr>
        <w:br/>
      </w:r>
      <w:r>
        <w:rPr>
          <w:rFonts w:ascii="Times New Roman"/>
          <w:b w:val="false"/>
          <w:i w:val="false"/>
          <w:color w:val="000000"/>
          <w:sz w:val="24"/>
        </w:rPr>
        <w:t xml:space="preserve">What amount of </w:t>
      </w:r>
      <w:r>
        <w:rPr>
          <w:rFonts w:ascii="Times New Roman"/>
          <w:b w:val="false"/>
          <w:i/>
          <w:color w:val="000000"/>
          <w:sz w:val="24"/>
        </w:rPr>
        <w:t>equity income</w:t>
      </w:r>
      <w:r>
        <w:rPr>
          <w:rFonts w:ascii="Times New Roman"/>
          <w:b w:val="false"/>
          <w:i w:val="false"/>
          <w:color w:val="000000"/>
          <w:sz w:val="24"/>
        </w:rPr>
        <w:t xml:space="preserve"> should Corzine have reported for 2025?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$16,420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$38,340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$32,840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In a situation where the investor exercises significant influence over the investee, which of the following entries is  </w:t>
      </w:r>
      <w:r>
        <w:rPr>
          <w:rFonts w:ascii="Times New Roman"/>
          <w:b w:val="false"/>
          <w:i/>
          <w:color w:val="000000"/>
          <w:sz w:val="24"/>
        </w:rPr>
        <w:t>not</w:t>
      </w:r>
      <w:r>
        <w:rPr>
          <w:rFonts w:ascii="Times New Roman"/>
          <w:b w:val="false"/>
          <w:i w:val="false"/>
          <w:color w:val="000000"/>
          <w:sz w:val="24"/>
        </w:rPr>
        <w:t xml:space="preserve"> actually posted to the books of the investor?</w:t>
      </w:r>
      <w:r>
        <w:rPr>
          <w:rFonts w:ascii="Times New Roman"/>
          <w:sz w:val="24"/>
        </w:rPr>
      </w:r>
    </w:p>
    <w:p>
      <w:pPr>
        <w:pStyle w:val="ListParagraph"/>
        <w:keepNext w:val="true"/>
        <w:keepLines w:val="true"/>
        <w:numPr>
          <w:ilvl w:val="6"/>
          <w:numId w:val="2"/>
        </w:numPr>
        <w:spacing w:after="0"/>
        <w:jc w:val="left"/>
      </w:pPr>
      <w:r>
        <w:rPr>
          <w:rFonts w:ascii="Times New Roman"/>
          <w:sz w:val="24"/>
        </w:rPr>
        <w:t>Debit to the Investment account, and a Credit to the Equity in Investee Income account.</w:t>
      </w:r>
    </w:p>
    <w:p>
      <w:pPr>
        <w:pStyle w:val="ListParagraph"/>
        <w:keepNext w:val="true"/>
        <w:keepLines w:val="true"/>
        <w:numPr>
          <w:ilvl w:val="6"/>
          <w:numId w:val="2"/>
        </w:numPr>
        <w:spacing w:after="0"/>
        <w:jc w:val="left"/>
      </w:pPr>
      <w:r>
        <w:rPr>
          <w:rFonts w:ascii="Times New Roman"/>
          <w:sz w:val="24"/>
        </w:rPr>
        <w:t>Debit to Cash (for dividends received from the investee), and a Credit to Investment Income account.</w:t>
      </w:r>
    </w:p>
    <w:p>
      <w:pPr>
        <w:pStyle w:val="ListParagraph"/>
        <w:keepNext w:val="true"/>
        <w:keepLines w:val="true"/>
        <w:numPr>
          <w:ilvl w:val="6"/>
          <w:numId w:val="2"/>
        </w:numPr>
        <w:spacing w:after="0"/>
        <w:jc w:val="left"/>
      </w:pPr>
      <w:r>
        <w:rPr>
          <w:rFonts w:ascii="Times New Roman"/>
          <w:sz w:val="24"/>
        </w:rPr>
        <w:t>Debit to Cash (for dividends received from the investee), and a Credit to the Dividend Receivable.</w:t>
      </w:r>
    </w:p>
    <w:p>
      <w:pPr>
        <w:pStyle w:val="ListParagraph"/>
        <w:keepNext w:val="true"/>
        <w:keepLines w:val="true"/>
        <w:numPr>
          <w:ilvl w:val="7"/>
          <w:numId w:val="2"/>
        </w:numPr>
        <w:spacing w:after="0"/>
        <w:jc w:val="left"/>
      </w:pPr>
      <w:r>
        <w:rPr>
          <w:rFonts w:ascii="Times New Roman"/>
          <w:b w:val="false"/>
          <w:i w:val="false"/>
          <w:color w:val="000000"/>
          <w:sz w:val="24"/>
        </w:rPr>
        <w:t>Entries I and II.</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Entries II and III.</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I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II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III only.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All of the following would require use of the equity method for investments </w:t>
      </w:r>
      <w:r>
        <w:rPr>
          <w:rFonts w:ascii="Times New Roman"/>
          <w:b w:val="false"/>
          <w:i/>
          <w:color w:val="000000"/>
          <w:sz w:val="24"/>
        </w:rPr>
        <w:t>except</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material intra-entity transactions.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 participation in the policy-making process of the investee.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valuation at fair value.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technological dependency.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interchange of managerial personnel.</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All of the following statements regarding the investment account using the equity method are true </w:t>
      </w:r>
      <w:r>
        <w:rPr>
          <w:rFonts w:ascii="Times New Roman"/>
          <w:b w:val="false"/>
          <w:i/>
          <w:color w:val="000000"/>
          <w:sz w:val="24"/>
        </w:rPr>
        <w:t>except</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investment is recorded at cost.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dividends received are recorded as revenue.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income of investee increases the investment account.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dividends received reduce the investment account.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amortization of fair value over cost reduces the investment account.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 has been using the fair-value method to account for its investment. The company now has the ability to significantly influence the investee and the equity method has been deemed appropriate. Which of the following statements is true?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cumulative effect change in accounting principle must occur.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prospective change in accounting principle must occur.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retrospective change in accounting principle must occur.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will not receive future dividends from the investee.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Future dividends will continue to be recorded as revenue.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company has been using the equity method to account for its investment. The company sells shares and does not continue to have significant influence. Which of the following statements is true?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cumulative effect change in accounting principle must occur.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prospective change in accounting principle must occur.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retrospective change in accounting principle must occur.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will not receive future dividends from the investee.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Future dividends will continue to reduce the investment account.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an investor appropriately applies the equity method, how should it account for any investee Other Comprehensive Income (OCI)?</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Under the equity method, the investor only recognizes its share of investee’s income from continuing operations.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OCI would reduce the investment.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OCI would increase the investment.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OCI would be ignored but shown in the investor’s notes to the financial statements.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How should a permanent loss in value of an investment using the equity method be treated?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equity in investee income is reduced.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loss is reported in the same manner as a loss in value of other long-term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investor’s stockholders’ equity is reduced.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 adjustment is necessary.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Record an offset to cash.</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Under the equity method, when the company’s share of cumulative losses equals its investment and the company has no obligation or intention to fund such additional losses, which of the following statements is true?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should change to the fair-value method to account for its investment.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should suspend applying the equity method until the investee reports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should suspend applying the equity method and not record any equity in income of investee until its share of future profits is sufficient to recover losses that have not previously been recorded.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cumulative losses should be reported as a prior period adjustment.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should report these as equity method losses in its income statement.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an investor sells shares of its investee company, which of the following statements is true?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recognized gain or loss is reported as the difference between selling price and original cost.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recognized gain or loss is reported as the difference between carrying value and original cost.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recognized gain or loss is reported as the difference between selling price and carrying value.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unrealized gain or loss is reported as the difference between selling price and carrying value.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Any gain or loss is reported as part of comprehensive income.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applying the equity method, how is the excess of cost over book value calculated and accounted for?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excess is allocated to the difference between fair value and book value multiplied by the percent ownership of current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excess is allocated to the difference between fair value and book value multiplied by the percent ownership of total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excess is allocated to the difference between fair value and book value multiplied by the percent ownership of net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excess is allocated to goodwill.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excess is ignored.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After allocating cost in excess of book value, which asset or liability would not be amortized over a useful life?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Cost of goods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Property, plant, &amp; equipment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Patents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Goodwill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Bonds payable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statement is true concerning unrecognized profits in intra-entity inventory sales when an investor uses the equity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investee must defer upstream ending inventory profits.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investee must defer upstream beginning inventory profits.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must defer downstream ending inventory profits.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must defer downstream beginning inventory profits.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must defer upstream beginning inventory profits.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statement is true concerning unrecognized profits in intra-entity inventory sales when an investor uses the equity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investor and investee make reciprocal entries to defer and recognize inventory profits.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same adjustments are made for upstream and downstream sales.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Different adjustments are made for upstream and downstream sales.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 adjustments are necessary.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Adjustments will be made only when profits are known upon sale to outsiders.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2023, Harley reported net income of $50,000 and paid dividends of $20,000 while in 2024 it reported net income of $75,000 and dividends of $30,000. Assume Archer has the ability to significantly influence the operations of Harley.</w:t>
      </w:r>
      <w:r>
        <w:rPr>
          <w:rFonts w:ascii="Times New Roman"/>
          <w:sz w:val="24"/>
        </w:rPr>
        <w:br/>
      </w:r>
      <w:r>
        <w:rPr>
          <w:rFonts w:ascii="Times New Roman"/>
          <w:b w:val="false"/>
          <w:i w:val="false"/>
          <w:color w:val="000000"/>
          <w:sz w:val="24"/>
        </w:rPr>
        <w:t>The amount allocated to goodwill at January 1, 2023,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2023, Harley reported net income of $50,000 and paid dividends of $20,000 while in 2024 it reported net income of $75,000 and dividends of $30,000. Assume Archer has the ability to significantly influence the operations of Harley.</w:t>
      </w:r>
      <w:r>
        <w:rPr>
          <w:rFonts w:ascii="Times New Roman"/>
          <w:sz w:val="24"/>
        </w:rPr>
        <w:br/>
      </w:r>
      <w:r>
        <w:rPr>
          <w:rFonts w:ascii="Times New Roman"/>
          <w:b w:val="false"/>
          <w:i w:val="false"/>
          <w:color w:val="000000"/>
          <w:sz w:val="24"/>
        </w:rPr>
        <w:t>The equity in income of Harley for 2023,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$13,500.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2023, Harley reported net income of $50,000 and paid dividends of $20,000 while in 2024 it reported net income of $75,000 and dividends of $30,000. Assume Archer has the ability to significantly influence the operations of Harley.</w:t>
      </w:r>
      <w:r>
        <w:rPr>
          <w:rFonts w:ascii="Times New Roman"/>
          <w:sz w:val="24"/>
        </w:rPr>
        <w:br/>
      </w:r>
      <w:r>
        <w:rPr>
          <w:rFonts w:ascii="Times New Roman"/>
          <w:b w:val="false"/>
          <w:i w:val="false"/>
          <w:color w:val="000000"/>
          <w:sz w:val="24"/>
        </w:rPr>
        <w:t>The equity in income of Harley for 2024,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$21,000.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$13,500.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2023, Harley reported net income of $50,000 and paid dividends of $20,000 while in 2024 it reported net income of $75,000 and dividends of $30,000. Assume Archer has the ability to significantly influence the operations of Harley.</w:t>
      </w:r>
      <w:r>
        <w:rPr>
          <w:rFonts w:ascii="Times New Roman"/>
          <w:sz w:val="24"/>
        </w:rPr>
        <w:br/>
      </w:r>
      <w:r>
        <w:rPr>
          <w:rFonts w:ascii="Times New Roman"/>
          <w:b w:val="false"/>
          <w:i w:val="false"/>
          <w:color w:val="000000"/>
          <w:sz w:val="24"/>
        </w:rPr>
        <w:t>The balance in the Investment in Harley account at December 31, 2023,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2023, Harley reported net income of $50,000 and paid dividends of $20,000 while in 2024 it reported net income of $75,000 and dividends of $30,000. Assume Archer has the ability to significantly influence the operations of Harley.</w:t>
      </w:r>
      <w:r>
        <w:rPr>
          <w:rFonts w:ascii="Times New Roman"/>
          <w:sz w:val="24"/>
        </w:rPr>
        <w:br/>
      </w:r>
      <w:r>
        <w:rPr>
          <w:rFonts w:ascii="Times New Roman"/>
          <w:b w:val="false"/>
          <w:i w:val="false"/>
          <w:color w:val="000000"/>
          <w:sz w:val="24"/>
        </w:rPr>
        <w:t>The balance in the Investment in Harley account at December 31, 2024,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$119,500.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$125,500.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$116,500.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Jones, Incorporated acquires 15% of Anderson Corporation on January 1, 2023, for $105,000 when the book value of Anderson was $600,000. During 2023 Anderson reported net income of $150,000 and paid dividends of $50,000. On January 1, 2024, Jones purchased an additional 25% of Anderson for $200,000. Any excess cost over book value is attributable to goodwill with an indefinite life. The fair-value method was used during 2023 but Jones has deemed it necessary to change to the equity method after the second purchase. During 2024 Anderson reported net income of $200,000, and reported dividends of $75,000.</w:t>
      </w:r>
      <w:r>
        <w:rPr>
          <w:rFonts w:ascii="Times New Roman"/>
          <w:sz w:val="24"/>
        </w:rPr>
        <w:br/>
      </w:r>
      <w:r>
        <w:rPr>
          <w:rFonts w:ascii="Times New Roman"/>
          <w:b w:val="false"/>
          <w:i w:val="false"/>
          <w:color w:val="000000"/>
          <w:sz w:val="24"/>
        </w:rPr>
        <w:t>The income reported by Jones for 2023 with regard to the Anderson investment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Jones, Incorporated acquires 15% of Anderson Corporation on January 1, 2023, for $105,000 when the book value of Anderson was $600,000. During 2023 Anderson reported net income of $150,000 and paid dividends of $50,000. On January 1, 2024, Jones purchased an additional 25% of Anderson for $200,000. Any excess cost over book value is attributable to goodwill with an indefinite life. The fair-value method was used during 2023 but Jones has deemed it necessary to change to the equity method after the second purchase. During 2024 Anderson reported net income of $200,000, and reported dividends of $75,000.</w:t>
      </w:r>
      <w:r>
        <w:rPr>
          <w:rFonts w:ascii="Times New Roman"/>
          <w:sz w:val="24"/>
        </w:rPr>
        <w:br/>
      </w:r>
      <w:r>
        <w:rPr>
          <w:rFonts w:ascii="Times New Roman"/>
          <w:b w:val="false"/>
          <w:i w:val="false"/>
          <w:color w:val="000000"/>
          <w:sz w:val="24"/>
        </w:rPr>
        <w:t>The income reported by Jones for 2024 with regard to the Anderson investment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Jones, Incorporated acquired 15% of Anderson Corporation on January 1, 2023, for $105,000 when the Anderson’s book value was $600,000. During 2023, Anderson reported net income of $150,000 and declared dividends of $50,000. By January 1, 2024, the fair value of Jones’ 15% investment in Anderson had increased to $120,000.</w:t>
      </w:r>
      <w:r>
        <w:rPr>
          <w:rFonts w:ascii="Times New Roman"/>
          <w:sz w:val="24"/>
        </w:rPr>
        <w:br/>
      </w:r>
      <w:r>
        <w:rPr>
          <w:rFonts w:ascii="Times New Roman"/>
          <w:b w:val="false"/>
          <w:i w:val="false"/>
          <w:color w:val="000000"/>
          <w:sz w:val="24"/>
        </w:rPr>
        <w:t>On January 1, 2024, Jones purchased an additional 25% of Anderson for $200,000. Any excess cost over book value was attributable to goodwill with an indefinite life. The fair-value method was used during 2023 but Jones has deemed it necessary to change to the equity method after the second purchase. During 2024, Anderson reported net income of $180,000, and declared dividends of $55,000.</w:t>
      </w:r>
      <w:r>
        <w:rPr>
          <w:rFonts w:ascii="Times New Roman"/>
          <w:sz w:val="24"/>
        </w:rPr>
        <w:br/>
      </w:r>
      <w:r>
        <w:rPr>
          <w:rFonts w:ascii="Times New Roman"/>
          <w:b w:val="false"/>
          <w:i w:val="false"/>
          <w:color w:val="000000"/>
          <w:sz w:val="24"/>
        </w:rPr>
        <w:t>How would Jones record its January 1, 2024, investment in Anderson under the equity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Jones must record an adjustment to additional paid-in capital for $200,000.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Jones must record a debit to additional paid-in capital for $15,000.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Jones must retrospectively adjust its retained earnings for the difference between 2023 equity method income and income recognized under the fair-value method for its investment in Anderson account.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Jones must debit the Investment in Anderson account for $200,000.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Jones must record a credit of $15,000 to the Investment in Anderson account.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Jones, Incorporated acquired 15% of Anderson Corporation on January 1, 2023, for $105,000 when the Anderson’s book value was $600,000. During 2023, Anderson reported net income of $150,000 and declared dividends of $50,000. By January 1, 2024, the fair value of Jones’ 15% investment in Anderson had increased to $120,000.</w:t>
      </w:r>
      <w:r>
        <w:rPr>
          <w:rFonts w:ascii="Times New Roman"/>
          <w:sz w:val="24"/>
        </w:rPr>
        <w:br/>
      </w:r>
      <w:r>
        <w:rPr>
          <w:rFonts w:ascii="Times New Roman"/>
          <w:b w:val="false"/>
          <w:i w:val="false"/>
          <w:color w:val="000000"/>
          <w:sz w:val="24"/>
        </w:rPr>
        <w:t>On January 1, 2024, Jones purchased an additional 25% of Anderson for $200,000. Any excess cost over book value was attributable to goodwill with an indefinite life. The fair-value method was used during 2023, but Jones has deemed it necessary to change to the equity method after the second purchase. During 2024, Anderson reported net income of $180,000, and declared dividends of $55,000.</w:t>
      </w:r>
      <w:r>
        <w:rPr>
          <w:rFonts w:ascii="Times New Roman"/>
          <w:sz w:val="24"/>
        </w:rPr>
        <w:br/>
      </w:r>
      <w:r>
        <w:rPr>
          <w:rFonts w:ascii="Times New Roman"/>
          <w:b w:val="false"/>
          <w:i w:val="false"/>
          <w:color w:val="000000"/>
          <w:sz w:val="24"/>
        </w:rPr>
        <w:t>What is the balance in Jones’ Investment in Anderson account at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$351,250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$370,000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$412,500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$445,000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Chase Incorporated sold $260,000 of its inventory to Bartlett Company during 2024 for $400,000. Bartlett sold $300,000 of this merchandise in 2024 with the remainder to be disposed of during 2025. Assume Chase owns 35% of Bartlett and accounts for its investment using the equity method.</w:t>
      </w:r>
      <w:r>
        <w:rPr>
          <w:rFonts w:ascii="Times New Roman"/>
          <w:sz w:val="24"/>
        </w:rPr>
        <w:br/>
      </w:r>
      <w:r>
        <w:rPr>
          <w:rFonts w:ascii="Times New Roman"/>
          <w:b w:val="false"/>
          <w:i w:val="false"/>
          <w:color w:val="000000"/>
          <w:sz w:val="24"/>
        </w:rPr>
        <w:t>What journal entry will be recorded at the end of 2024 to defer the recognition of the investor’s share of the intra-entity gross profits?</w:t>
      </w:r>
      <w:r>
        <w:rPr>
          <w:rFonts w:ascii="Times New Roman"/>
          <w:sz w:val="24"/>
        </w:rPr>
        <w:br/>
      </w:r>
      <w:r>
        <w:rPr>
          <w:rFonts w:ascii="Times New Roman"/>
          <w:b w:val="false"/>
          <w:i w:val="false"/>
          <w:color w:val="000000"/>
          <w:sz w:val="24"/>
        </w:rPr>
        <w:t xml:space="preserve"> </w:t>
      </w:r>
      <w:r>
        <w:rPr>
          <w:rFonts w:ascii="Times New Roman"/>
          <w:sz w:val="24"/>
        </w:rPr>
      </w:r>
    </w:p>
    <w:tbl>
      <w:tblPr>
        <w:jc w:val="left"/>
        <w:tblInd w:w="360" w:type="dxa"/>
        <w:tblLayout w:type="autofit"/>
      </w:tblP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Event</w:t>
            </w:r>
          </w:p>
        </w:tc>
        <w:tc>
          <w:tcPr>
            <w:tcW w:w="755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Account Title</w:t>
            </w:r>
          </w:p>
        </w:tc>
        <w:tc>
          <w:tcPr>
            <w:tcW w:w="2072" w:type="dxa"/>
            <w:tcBorders/>
            <w:tcMar>
              <w:top w:w="15" w:type="dxa"/>
              <w:left w:w="15" w:type="dxa"/>
              <w:bottom w:w="15" w:type="dxa"/>
              <w:right w:w="150" w:type="dxa"/>
            </w:tcMar>
            <w:vAlign w:val="top"/>
          </w:tcPr>
          <w:p>
            <w:pPr>
              <w:keepNext w:val="true"/>
              <w:keepLines w:val="true"/>
              <w:spacing w:after="0"/>
              <w:ind w:left="0"/>
              <w:jc w:val="center"/>
            </w:pPr>
            <w:r>
              <w:rPr>
                <w:rFonts w:ascii="Courier New" w:hAnsi="Courier New"/>
                <w:b/>
                <w:i w:val="false"/>
                <w:color w:val="000000"/>
                <w:sz w:val="22"/>
              </w:rPr>
              <w:t>Debit</w:t>
            </w:r>
          </w:p>
        </w:tc>
        <w:tc>
          <w:tcPr>
            <w:tcW w:w="2072" w:type="dxa"/>
            <w:tcBorders/>
            <w:tcMar>
              <w:top w:w="15" w:type="dxa"/>
              <w:left w:w="15" w:type="dxa"/>
              <w:bottom w:w="15" w:type="dxa"/>
              <w:right w:w="150"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w:t>
            </w:r>
          </w:p>
        </w:tc>
        <w:tc>
          <w:tcPr>
            <w:tcW w:w="755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income of Bartlett</w:t>
            </w:r>
          </w:p>
        </w:tc>
        <w:tc>
          <w:tcPr>
            <w:tcW w:w="207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$ 35,000</w:t>
            </w:r>
          </w:p>
        </w:tc>
        <w:tc>
          <w:tcPr>
            <w:tcW w:w="2072" w:type="dxa"/>
            <w:tcBorders/>
            <w:tcMar>
              <w:top w:w="15" w:type="dxa"/>
              <w:left w:w="15" w:type="dxa"/>
              <w:bottom w:w="15" w:type="dxa"/>
              <w:right w:w="150" w:type="dxa"/>
            </w:tcMar>
            <w:vAlign w:val="top"/>
          </w:tcPr>
          <w:p>
            <w:pPr>
              <w:keepNext w:val="true"/>
              <w:keepLines w:val="true"/>
            </w:pPr>
          </w:p>
        </w:tc>
      </w:tr>
      <w:tr>
        <w:trPr>
          <w:cantSplit w:val="true"/>
        </w:trPr>
        <w:tc>
          <w:tcPr>
            <w:tcW w:w="1097"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A)</w:t>
            </w:r>
          </w:p>
        </w:tc>
        <w:tc>
          <w:tcPr>
            <w:tcW w:w="7559"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Bartlett</w:t>
            </w:r>
          </w:p>
        </w:tc>
        <w:tc>
          <w:tcPr>
            <w:tcW w:w="2072" w:type="dxa"/>
            <w:tcBorders/>
            <w:tcMar>
              <w:top w:w="15" w:type="dxa"/>
              <w:left w:w="15" w:type="dxa"/>
              <w:bottom w:w="15" w:type="dxa"/>
              <w:right w:w="150" w:type="dxa"/>
            </w:tcMar>
            <w:vAlign w:val="top"/>
          </w:tcPr>
          <w:p>
            <w:pPr>
              <w:keepNext w:val="true"/>
              <w:keepLines w:val="true"/>
            </w:pPr>
          </w:p>
        </w:tc>
        <w:tc>
          <w:tcPr>
            <w:tcW w:w="207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$ 35,000</w:t>
            </w:r>
          </w:p>
        </w:tc>
      </w:t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w:t>
            </w:r>
          </w:p>
        </w:tc>
        <w:tc>
          <w:tcPr>
            <w:tcW w:w="755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Bartlett</w:t>
            </w:r>
          </w:p>
        </w:tc>
        <w:tc>
          <w:tcPr>
            <w:tcW w:w="207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$ 35,000</w:t>
            </w:r>
          </w:p>
        </w:tc>
        <w:tc>
          <w:tcPr>
            <w:tcW w:w="2072" w:type="dxa"/>
            <w:tcBorders/>
            <w:tcMar>
              <w:top w:w="15" w:type="dxa"/>
              <w:left w:w="15" w:type="dxa"/>
              <w:bottom w:w="15" w:type="dxa"/>
              <w:right w:w="150" w:type="dxa"/>
            </w:tcMar>
            <w:vAlign w:val="top"/>
          </w:tcPr>
          <w:p>
            <w:pPr>
              <w:keepNext w:val="true"/>
              <w:keepLines w:val="true"/>
            </w:pPr>
          </w:p>
        </w:tc>
      </w:tr>
      <w:tr>
        <w:trPr>
          <w:cantSplit w:val="true"/>
        </w:trPr>
        <w:tc>
          <w:tcPr>
            <w:tcW w:w="1097"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B)</w:t>
            </w:r>
          </w:p>
        </w:tc>
        <w:tc>
          <w:tcPr>
            <w:tcW w:w="7559"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income of Bartlett</w:t>
            </w:r>
          </w:p>
        </w:tc>
        <w:tc>
          <w:tcPr>
            <w:tcW w:w="2072" w:type="dxa"/>
            <w:tcBorders/>
            <w:tcMar>
              <w:top w:w="15" w:type="dxa"/>
              <w:left w:w="15" w:type="dxa"/>
              <w:bottom w:w="15" w:type="dxa"/>
              <w:right w:w="150" w:type="dxa"/>
            </w:tcMar>
            <w:vAlign w:val="top"/>
          </w:tcPr>
          <w:p>
            <w:pPr>
              <w:keepNext w:val="true"/>
              <w:keepLines w:val="true"/>
            </w:pPr>
          </w:p>
        </w:tc>
        <w:tc>
          <w:tcPr>
            <w:tcW w:w="207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$ 35,000</w:t>
            </w:r>
          </w:p>
        </w:tc>
      </w:t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w:t>
            </w:r>
          </w:p>
        </w:tc>
        <w:tc>
          <w:tcPr>
            <w:tcW w:w="755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income of Bartlett</w:t>
            </w:r>
          </w:p>
        </w:tc>
        <w:tc>
          <w:tcPr>
            <w:tcW w:w="207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$ 12,250</w:t>
            </w:r>
          </w:p>
        </w:tc>
        <w:tc>
          <w:tcPr>
            <w:tcW w:w="2072" w:type="dxa"/>
            <w:tcBorders/>
            <w:tcMar>
              <w:top w:w="15" w:type="dxa"/>
              <w:left w:w="15" w:type="dxa"/>
              <w:bottom w:w="15" w:type="dxa"/>
              <w:right w:w="150" w:type="dxa"/>
            </w:tcMar>
            <w:vAlign w:val="top"/>
          </w:tcPr>
          <w:p>
            <w:pPr>
              <w:keepNext w:val="true"/>
              <w:keepLines w:val="true"/>
            </w:pPr>
          </w:p>
        </w:tc>
      </w:tr>
      <w:tr>
        <w:trPr>
          <w:cantSplit w:val="true"/>
        </w:trPr>
        <w:tc>
          <w:tcPr>
            <w:tcW w:w="1097"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C)</w:t>
            </w:r>
          </w:p>
        </w:tc>
        <w:tc>
          <w:tcPr>
            <w:tcW w:w="7559"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Bartlett</w:t>
            </w:r>
          </w:p>
        </w:tc>
        <w:tc>
          <w:tcPr>
            <w:tcW w:w="2072" w:type="dxa"/>
            <w:tcBorders/>
            <w:tcMar>
              <w:top w:w="15" w:type="dxa"/>
              <w:left w:w="15" w:type="dxa"/>
              <w:bottom w:w="15" w:type="dxa"/>
              <w:right w:w="150" w:type="dxa"/>
            </w:tcMar>
            <w:vAlign w:val="top"/>
          </w:tcPr>
          <w:p>
            <w:pPr>
              <w:keepNext w:val="true"/>
              <w:keepLines w:val="true"/>
            </w:pPr>
          </w:p>
        </w:tc>
        <w:tc>
          <w:tcPr>
            <w:tcW w:w="207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$ 12,250</w:t>
            </w:r>
          </w:p>
        </w:tc>
      </w:t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w:t>
            </w:r>
          </w:p>
        </w:tc>
        <w:tc>
          <w:tcPr>
            <w:tcW w:w="755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Bartlett</w:t>
            </w:r>
          </w:p>
        </w:tc>
        <w:tc>
          <w:tcPr>
            <w:tcW w:w="207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$ 12,250</w:t>
            </w:r>
          </w:p>
        </w:tc>
        <w:tc>
          <w:tcPr>
            <w:tcW w:w="2072" w:type="dxa"/>
            <w:tcBorders/>
            <w:tcMar>
              <w:top w:w="15" w:type="dxa"/>
              <w:left w:w="15" w:type="dxa"/>
              <w:bottom w:w="15" w:type="dxa"/>
              <w:right w:w="150" w:type="dxa"/>
            </w:tcMar>
            <w:vAlign w:val="top"/>
          </w:tcPr>
          <w:p>
            <w:pPr>
              <w:keepNext w:val="true"/>
              <w:keepLines w:val="true"/>
            </w:pPr>
          </w:p>
        </w:tc>
      </w:tr>
      <w:tr>
        <w:trPr>
          <w:cantSplit w:val="true"/>
        </w:trPr>
        <w:tc>
          <w:tcPr>
            <w:tcW w:w="1097"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d)</w:t>
            </w:r>
          </w:p>
        </w:tc>
        <w:tc>
          <w:tcPr>
            <w:tcW w:w="7559"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income of Bartlett</w:t>
            </w:r>
          </w:p>
        </w:tc>
        <w:tc>
          <w:tcPr>
            <w:tcW w:w="2072" w:type="dxa"/>
            <w:tcBorders/>
            <w:tcMar>
              <w:top w:w="15" w:type="dxa"/>
              <w:left w:w="15" w:type="dxa"/>
              <w:bottom w:w="15" w:type="dxa"/>
              <w:right w:w="150" w:type="dxa"/>
            </w:tcMar>
            <w:vAlign w:val="top"/>
          </w:tcPr>
          <w:p>
            <w:pPr>
              <w:keepNext w:val="true"/>
              <w:keepLines w:val="true"/>
            </w:pPr>
          </w:p>
        </w:tc>
        <w:tc>
          <w:tcPr>
            <w:tcW w:w="207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$ 12,250</w:t>
            </w:r>
          </w:p>
        </w:tc>
      </w:tr>
    </w:tbl>
    <w:p>
      <w:pPr>
        <w:pStyle w:val="ListParagraph"/>
        <w:keepNext w:val="true"/>
        <w:keepLines w:val="true"/>
        <w:numPr>
          <w:ilvl w:val="7"/>
          <w:numId w:val="2"/>
        </w:numPr>
        <w:spacing w:after="0"/>
        <w:jc w:val="left"/>
      </w:pPr>
      <w:r>
        <w:rPr>
          <w:rFonts w:ascii="Times New Roman"/>
          <w:b w:val="false"/>
          <w:i w:val="false"/>
          <w:color w:val="000000"/>
          <w:sz w:val="24"/>
        </w:rPr>
        <w:t>Entry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B.</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 entry is necessary.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Chase Incorporated sold $260,000 of its inventory to Bartlett Company during 2024 for $400,000. Bartlett sold $300,000 of this merchandise in 2024 with the remainder to be disposed of during 2025. Assume Chase owns 35% of Bartlett and accounts for its investment using the equity method.</w:t>
      </w:r>
      <w:r>
        <w:rPr>
          <w:rFonts w:ascii="Times New Roman"/>
          <w:sz w:val="24"/>
        </w:rPr>
        <w:br/>
      </w:r>
      <w:r>
        <w:rPr>
          <w:rFonts w:ascii="Times New Roman"/>
          <w:b w:val="false"/>
          <w:i w:val="false"/>
          <w:color w:val="000000"/>
          <w:sz w:val="24"/>
        </w:rPr>
        <w:t>What journal entry will be recorded in 2025 to recognize its share of the intra-entity gross profit that was deferred in 2024?</w:t>
      </w:r>
      <w:r>
        <w:rPr>
          <w:rFonts w:ascii="Times New Roman"/>
          <w:sz w:val="24"/>
        </w:rPr>
      </w:r>
    </w:p>
    <w:tbl>
      <w:tblPr>
        <w:jc w:val="left"/>
        <w:tblInd w:w="360" w:type="dxa"/>
        <w:tblLayout w:type="autofit"/>
      </w:tblP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Event</w:t>
            </w:r>
          </w:p>
        </w:tc>
        <w:tc>
          <w:tcPr>
            <w:tcW w:w="775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Account Title</w:t>
            </w:r>
          </w:p>
        </w:tc>
        <w:tc>
          <w:tcPr>
            <w:tcW w:w="2075" w:type="dxa"/>
            <w:tcBorders/>
            <w:tcMar>
              <w:top w:w="15" w:type="dxa"/>
              <w:left w:w="15" w:type="dxa"/>
              <w:bottom w:w="15" w:type="dxa"/>
              <w:right w:w="150" w:type="dxa"/>
            </w:tcMar>
            <w:vAlign w:val="top"/>
          </w:tcPr>
          <w:p>
            <w:pPr>
              <w:keepNext w:val="true"/>
              <w:keepLines w:val="true"/>
              <w:spacing w:after="0"/>
              <w:ind w:left="0"/>
              <w:jc w:val="center"/>
            </w:pPr>
            <w:r>
              <w:rPr>
                <w:rFonts w:ascii="Courier New" w:hAnsi="Courier New"/>
                <w:b/>
                <w:i w:val="false"/>
                <w:color w:val="000000"/>
                <w:sz w:val="22"/>
              </w:rPr>
              <w:t>Debit</w:t>
            </w:r>
          </w:p>
        </w:tc>
        <w:tc>
          <w:tcPr>
            <w:tcW w:w="2075" w:type="dxa"/>
            <w:tcBorders/>
            <w:tcMar>
              <w:top w:w="15" w:type="dxa"/>
              <w:left w:w="15" w:type="dxa"/>
              <w:bottom w:w="15" w:type="dxa"/>
              <w:right w:w="150"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w:t>
            </w:r>
          </w:p>
        </w:tc>
        <w:tc>
          <w:tcPr>
            <w:tcW w:w="775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income of Bartlett</w:t>
            </w:r>
          </w:p>
        </w:tc>
        <w:tc>
          <w:tcPr>
            <w:tcW w:w="207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$ 35,000</w:t>
            </w:r>
          </w:p>
        </w:tc>
        <w:tc>
          <w:tcPr>
            <w:tcW w:w="2075" w:type="dxa"/>
            <w:tcBorders/>
            <w:tcMar>
              <w:top w:w="15" w:type="dxa"/>
              <w:left w:w="15" w:type="dxa"/>
              <w:bottom w:w="15" w:type="dxa"/>
              <w:right w:w="150" w:type="dxa"/>
            </w:tcMar>
            <w:vAlign w:val="top"/>
          </w:tcPr>
          <w:p>
            <w:pPr>
              <w:keepNext w:val="true"/>
              <w:keepLines w:val="true"/>
            </w:pPr>
          </w:p>
        </w:tc>
      </w:tr>
      <w:tr>
        <w:trPr>
          <w:cantSplit w:val="true"/>
        </w:trPr>
        <w:tc>
          <w:tcPr>
            <w:tcW w:w="1097" w:type="dxa"/>
            <w:tcBorders/>
            <w:tcMar>
              <w:top w:w="15" w:type="dxa"/>
              <w:left w:w="225" w:type="dxa"/>
              <w:bottom w:w="15" w:type="dxa"/>
              <w:right w:w="15" w:type="dxa"/>
            </w:tcMar>
            <w:vAlign w:val="top"/>
          </w:tcPr>
          <w:p>
            <w:pPr>
              <w:keepNext w:val="true"/>
              <w:keepLines w:val="true"/>
            </w:pPr>
          </w:p>
        </w:tc>
        <w:tc>
          <w:tcPr>
            <w:tcW w:w="7753"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Bartlett</w:t>
            </w:r>
          </w:p>
        </w:tc>
        <w:tc>
          <w:tcPr>
            <w:tcW w:w="2075" w:type="dxa"/>
            <w:tcBorders/>
            <w:tcMar>
              <w:top w:w="15" w:type="dxa"/>
              <w:left w:w="15" w:type="dxa"/>
              <w:bottom w:w="15" w:type="dxa"/>
              <w:right w:w="150" w:type="dxa"/>
            </w:tcMar>
            <w:vAlign w:val="top"/>
          </w:tcPr>
          <w:p>
            <w:pPr>
              <w:keepNext w:val="true"/>
              <w:keepLines w:val="true"/>
            </w:pPr>
          </w:p>
        </w:tc>
        <w:tc>
          <w:tcPr>
            <w:tcW w:w="207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$ 35,000</w:t>
            </w:r>
          </w:p>
        </w:tc>
      </w:t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w:t>
            </w:r>
          </w:p>
        </w:tc>
        <w:tc>
          <w:tcPr>
            <w:tcW w:w="775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Bartlett</w:t>
            </w:r>
          </w:p>
        </w:tc>
        <w:tc>
          <w:tcPr>
            <w:tcW w:w="207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$ 35,000</w:t>
            </w:r>
          </w:p>
        </w:tc>
        <w:tc>
          <w:tcPr>
            <w:tcW w:w="2075" w:type="dxa"/>
            <w:tcBorders/>
            <w:tcMar>
              <w:top w:w="15" w:type="dxa"/>
              <w:left w:w="15" w:type="dxa"/>
              <w:bottom w:w="15" w:type="dxa"/>
              <w:right w:w="150" w:type="dxa"/>
            </w:tcMar>
            <w:vAlign w:val="top"/>
          </w:tcPr>
          <w:p>
            <w:pPr>
              <w:keepNext w:val="true"/>
              <w:keepLines w:val="true"/>
            </w:pPr>
          </w:p>
        </w:tc>
      </w:tr>
      <w:tr>
        <w:trPr>
          <w:cantSplit w:val="true"/>
        </w:trPr>
        <w:tc>
          <w:tcPr>
            <w:tcW w:w="1097" w:type="dxa"/>
            <w:tcBorders/>
            <w:tcMar>
              <w:top w:w="15" w:type="dxa"/>
              <w:left w:w="225" w:type="dxa"/>
              <w:bottom w:w="15" w:type="dxa"/>
              <w:right w:w="15" w:type="dxa"/>
            </w:tcMar>
            <w:vAlign w:val="top"/>
          </w:tcPr>
          <w:p>
            <w:pPr>
              <w:keepNext w:val="true"/>
              <w:keepLines w:val="true"/>
            </w:pPr>
          </w:p>
        </w:tc>
        <w:tc>
          <w:tcPr>
            <w:tcW w:w="7753"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income of Bartlett</w:t>
            </w:r>
          </w:p>
        </w:tc>
        <w:tc>
          <w:tcPr>
            <w:tcW w:w="2075" w:type="dxa"/>
            <w:tcBorders/>
            <w:tcMar>
              <w:top w:w="15" w:type="dxa"/>
              <w:left w:w="15" w:type="dxa"/>
              <w:bottom w:w="15" w:type="dxa"/>
              <w:right w:w="150" w:type="dxa"/>
            </w:tcMar>
            <w:vAlign w:val="top"/>
          </w:tcPr>
          <w:p>
            <w:pPr>
              <w:keepNext w:val="true"/>
              <w:keepLines w:val="true"/>
            </w:pPr>
          </w:p>
        </w:tc>
        <w:tc>
          <w:tcPr>
            <w:tcW w:w="207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$ 35,000</w:t>
            </w:r>
          </w:p>
        </w:tc>
      </w:t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w:t>
            </w:r>
          </w:p>
        </w:tc>
        <w:tc>
          <w:tcPr>
            <w:tcW w:w="775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income of Bartlett</w:t>
            </w:r>
          </w:p>
        </w:tc>
        <w:tc>
          <w:tcPr>
            <w:tcW w:w="207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$ 12,250</w:t>
            </w:r>
          </w:p>
        </w:tc>
        <w:tc>
          <w:tcPr>
            <w:tcW w:w="2075" w:type="dxa"/>
            <w:tcBorders/>
            <w:tcMar>
              <w:top w:w="15" w:type="dxa"/>
              <w:left w:w="15" w:type="dxa"/>
              <w:bottom w:w="15" w:type="dxa"/>
              <w:right w:w="150" w:type="dxa"/>
            </w:tcMar>
            <w:vAlign w:val="top"/>
          </w:tcPr>
          <w:p>
            <w:pPr>
              <w:keepNext w:val="true"/>
              <w:keepLines w:val="true"/>
            </w:pPr>
          </w:p>
        </w:tc>
      </w:tr>
      <w:tr>
        <w:trPr>
          <w:cantSplit w:val="true"/>
        </w:trPr>
        <w:tc>
          <w:tcPr>
            <w:tcW w:w="1097" w:type="dxa"/>
            <w:tcBorders/>
            <w:tcMar>
              <w:top w:w="15" w:type="dxa"/>
              <w:left w:w="225" w:type="dxa"/>
              <w:bottom w:w="15" w:type="dxa"/>
              <w:right w:w="15" w:type="dxa"/>
            </w:tcMar>
            <w:vAlign w:val="top"/>
          </w:tcPr>
          <w:p>
            <w:pPr>
              <w:keepNext w:val="true"/>
              <w:keepLines w:val="true"/>
            </w:pPr>
          </w:p>
        </w:tc>
        <w:tc>
          <w:tcPr>
            <w:tcW w:w="7753"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Bartlett</w:t>
            </w:r>
          </w:p>
        </w:tc>
        <w:tc>
          <w:tcPr>
            <w:tcW w:w="2075" w:type="dxa"/>
            <w:tcBorders/>
            <w:tcMar>
              <w:top w:w="15" w:type="dxa"/>
              <w:left w:w="15" w:type="dxa"/>
              <w:bottom w:w="15" w:type="dxa"/>
              <w:right w:w="150" w:type="dxa"/>
            </w:tcMar>
            <w:vAlign w:val="top"/>
          </w:tcPr>
          <w:p>
            <w:pPr>
              <w:keepNext w:val="true"/>
              <w:keepLines w:val="true"/>
            </w:pPr>
          </w:p>
        </w:tc>
        <w:tc>
          <w:tcPr>
            <w:tcW w:w="207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$ 12,250</w:t>
            </w:r>
          </w:p>
        </w:tc>
      </w:tr>
      <w:tr>
        <w:trPr>
          <w:cantSplit w:val="true"/>
        </w:trPr>
        <w:tc>
          <w:tcPr>
            <w:tcW w:w="109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w:t>
            </w:r>
          </w:p>
        </w:tc>
        <w:tc>
          <w:tcPr>
            <w:tcW w:w="775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Bartlett</w:t>
            </w:r>
          </w:p>
        </w:tc>
        <w:tc>
          <w:tcPr>
            <w:tcW w:w="207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$ 12,250</w:t>
            </w:r>
          </w:p>
        </w:tc>
        <w:tc>
          <w:tcPr>
            <w:tcW w:w="2075" w:type="dxa"/>
            <w:tcBorders/>
            <w:tcMar>
              <w:top w:w="15" w:type="dxa"/>
              <w:left w:w="15" w:type="dxa"/>
              <w:bottom w:w="15" w:type="dxa"/>
              <w:right w:w="150" w:type="dxa"/>
            </w:tcMar>
            <w:vAlign w:val="top"/>
          </w:tcPr>
          <w:p>
            <w:pPr>
              <w:keepNext w:val="true"/>
              <w:keepLines w:val="true"/>
            </w:pPr>
          </w:p>
        </w:tc>
      </w:tr>
      <w:tr>
        <w:trPr>
          <w:cantSplit w:val="true"/>
        </w:trPr>
        <w:tc>
          <w:tcPr>
            <w:tcW w:w="1097" w:type="dxa"/>
            <w:tcBorders/>
            <w:tcMar>
              <w:top w:w="15" w:type="dxa"/>
              <w:left w:w="225" w:type="dxa"/>
              <w:bottom w:w="15" w:type="dxa"/>
              <w:right w:w="15" w:type="dxa"/>
            </w:tcMar>
            <w:vAlign w:val="top"/>
          </w:tcPr>
          <w:p>
            <w:pPr>
              <w:keepNext w:val="true"/>
              <w:keepLines w:val="true"/>
            </w:pPr>
          </w:p>
        </w:tc>
        <w:tc>
          <w:tcPr>
            <w:tcW w:w="7753"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income of Bartlett</w:t>
            </w:r>
          </w:p>
        </w:tc>
        <w:tc>
          <w:tcPr>
            <w:tcW w:w="2075" w:type="dxa"/>
            <w:tcBorders/>
            <w:tcMar>
              <w:top w:w="15" w:type="dxa"/>
              <w:left w:w="15" w:type="dxa"/>
              <w:bottom w:w="15" w:type="dxa"/>
              <w:right w:w="150" w:type="dxa"/>
            </w:tcMar>
            <w:vAlign w:val="top"/>
          </w:tcPr>
          <w:p>
            <w:pPr>
              <w:keepNext w:val="true"/>
              <w:keepLines w:val="true"/>
            </w:pPr>
          </w:p>
        </w:tc>
        <w:tc>
          <w:tcPr>
            <w:tcW w:w="207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$ 12,250</w:t>
            </w:r>
          </w:p>
        </w:tc>
      </w:tr>
    </w:tbl>
    <w:p>
      <w:pPr>
        <w:pStyle w:val="ListParagraph"/>
        <w:keepNext w:val="true"/>
        <w:keepLines w:val="true"/>
        <w:numPr>
          <w:ilvl w:val="7"/>
          <w:numId w:val="2"/>
        </w:numPr>
        <w:spacing w:after="0"/>
        <w:jc w:val="left"/>
      </w:pPr>
      <w:r>
        <w:rPr>
          <w:rFonts w:ascii="Times New Roman"/>
          <w:b w:val="false"/>
          <w:i w:val="false"/>
          <w:color w:val="000000"/>
          <w:sz w:val="24"/>
        </w:rPr>
        <w:t>Entry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B.</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 entry is necessary.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Mehan, Incorporated purchased 15,000 shares of Cook Company for $150,000 giving Mehan a 15% ownership of Cook. The fair value of the 15% investment was the same as the carrying value of the investment when, on January 1, 2024, Mehan purchased an additional 25,000 shares (25%) of Cook for $300,000. This last purchase gave Mehan the ability to apply significant influence over Cook. The book value of Cook on January 1, 2023, was $1,000,000. The book value of Cook on January 1, 2024, was $1,100,000. Any excess of cost over book value for this second transaction is assigned to a database and amortized over four years.</w:t>
      </w:r>
      <w:r>
        <w:rPr>
          <w:rFonts w:ascii="Times New Roman"/>
          <w:sz w:val="24"/>
        </w:rPr>
        <w:br/>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jc w:val="left"/>
        <w:tblInd w:w="360" w:type="dxa"/>
        <w:tblLayout w:type="autofit"/>
      </w:tblPr>
      <w:tr>
        <w:trPr>
          <w:cantSplit w:val="true"/>
        </w:trPr>
        <w:tc>
          <w:tcPr>
            <w:tcW w:w="1325" w:type="dxa"/>
            <w:tcBorders/>
            <w:tcMar>
              <w:top w:w="15" w:type="dxa"/>
              <w:left w:w="225" w:type="dxa"/>
              <w:bottom w:w="15" w:type="dxa"/>
              <w:right w:w="15" w:type="dxa"/>
            </w:tcMar>
            <w:vAlign w:val="top"/>
          </w:tcPr>
          <w:p>
            <w:pPr>
              <w:keepNext w:val="true"/>
              <w:keepLines w:val="true"/>
            </w:pPr>
          </w:p>
        </w:tc>
        <w:tc>
          <w:tcPr>
            <w:tcW w:w="287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Net Income</w:t>
            </w:r>
          </w:p>
        </w:tc>
        <w:tc>
          <w:tcPr>
            <w:tcW w:w="26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Dividends</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2023</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$ 200,000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225,000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2025</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250,000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60,000</w:t>
            </w:r>
          </w:p>
        </w:tc>
      </w:tr>
    </w:tbl>
    <w:p>
      <w:pPr>
        <w:keepNext w:val="true"/>
        <w:keepLines w:val="true"/>
        <w:spacing w:after="0"/>
        <w:ind w:left="360"/>
        <w:jc w:val="left"/>
      </w:pPr>
      <w:r>
        <w:rPr>
          <w:rFonts w:ascii="Times New Roman"/>
          <w:b w:val="false"/>
          <w:i w:val="false"/>
          <w:color w:val="000000"/>
          <w:sz w:val="24"/>
        </w:rPr>
        <w:t>On April 1, 2025, just after its first dividend receipt, Mehan sells 10,000 shares of its investment.</w:t>
      </w:r>
      <w:r>
        <w:rPr>
          <w:rFonts w:ascii="Times New Roman"/>
          <w:sz w:val="24"/>
        </w:rPr>
        <w:br/>
      </w:r>
      <w:r>
        <w:rPr>
          <w:rFonts w:ascii="Times New Roman"/>
          <w:b w:val="false"/>
          <w:i w:val="false"/>
          <w:color w:val="000000"/>
          <w:sz w:val="24"/>
        </w:rPr>
        <w:t>What is the balance in the investment account for the 15% ownership interest, at January 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$172,500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$170,000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Mehan, Incorporated purchased 15,000 shares of Cook Company for $150,000 giving Mehan a 15% ownership of Cook. The fair value of the 15% investment was the same as the carrying value of the investment when, on January 1, 2024, Mehan purchased an additional 25,000 shares (25%) of Cook for $300,000. This last purchase gave Mehan the ability to apply significant influence over Cook. The book value of Cook on January 1, 2023, was $1,000,000. The book value of Cook on January 1, 2024, was $1,100,000. Any excess of cost over book value for this second transaction is assigned to a database and amortized over four years.</w:t>
      </w:r>
      <w:r>
        <w:rPr>
          <w:rFonts w:ascii="Times New Roman"/>
          <w:sz w:val="24"/>
        </w:rPr>
        <w:br/>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jc w:val="left"/>
        <w:tblInd w:w="360" w:type="dxa"/>
        <w:tblLayout w:type="autofit"/>
      </w:tblPr>
      <w:tr>
        <w:trPr>
          <w:cantSplit w:val="true"/>
        </w:trPr>
        <w:tc>
          <w:tcPr>
            <w:tcW w:w="1325" w:type="dxa"/>
            <w:tcBorders/>
            <w:tcMar>
              <w:top w:w="15" w:type="dxa"/>
              <w:left w:w="225" w:type="dxa"/>
              <w:bottom w:w="15" w:type="dxa"/>
              <w:right w:w="15" w:type="dxa"/>
            </w:tcMar>
            <w:vAlign w:val="top"/>
          </w:tcPr>
          <w:p>
            <w:pPr>
              <w:keepNext w:val="true"/>
              <w:keepLines w:val="true"/>
            </w:pPr>
          </w:p>
        </w:tc>
        <w:tc>
          <w:tcPr>
            <w:tcW w:w="287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Net Income</w:t>
            </w:r>
          </w:p>
        </w:tc>
        <w:tc>
          <w:tcPr>
            <w:tcW w:w="26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Dividends</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2023</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$ 200,000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225,000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2025</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250,000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60,000</w:t>
            </w:r>
          </w:p>
        </w:tc>
      </w:tr>
    </w:tbl>
    <w:p>
      <w:pPr>
        <w:keepNext w:val="true"/>
        <w:keepLines w:val="true"/>
        <w:spacing w:after="0"/>
        <w:ind w:left="360"/>
        <w:jc w:val="left"/>
      </w:pPr>
      <w:r>
        <w:rPr>
          <w:rFonts w:ascii="Times New Roman"/>
          <w:b w:val="false"/>
          <w:i w:val="false"/>
          <w:color w:val="000000"/>
          <w:sz w:val="24"/>
        </w:rPr>
        <w:t>On April 1, 2025, just after its first dividend receipt, Mehan sells 10,000 shares of its investment.</w:t>
      </w:r>
      <w:r>
        <w:rPr>
          <w:rFonts w:ascii="Times New Roman"/>
          <w:sz w:val="24"/>
        </w:rPr>
        <w:br/>
      </w:r>
      <w:r>
        <w:rPr>
          <w:rFonts w:ascii="Times New Roman"/>
          <w:b w:val="false"/>
          <w:i w:val="false"/>
          <w:color w:val="000000"/>
          <w:sz w:val="24"/>
        </w:rPr>
        <w:t>How much income did Mehan report from Cook during 2023?</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Mehan, Incorporated purchased 15,000 shares of Cook Company for $150,000 giving Mehan a 15% ownership of Cook. The fair value of the 15% investment was the same as the carrying value of the investment when, on January 1, 2024, Mehan purchased an additional 25,000 shares (25%) of Cook for $300,000. This last purchase gave Mehan the ability to apply significant influence over Cook. The book value of Cook on January 1, 2023, was $1,000,000. The book value of Cook on January 1, 2024, was $1,100,000. Any excess of cost over book value for this second transaction is assigned to a database and amortized over four years.</w:t>
      </w:r>
      <w:r>
        <w:rPr>
          <w:rFonts w:ascii="Times New Roman"/>
          <w:sz w:val="24"/>
        </w:rPr>
        <w:br/>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jc w:val="left"/>
        <w:tblInd w:w="360" w:type="dxa"/>
        <w:tblLayout w:type="autofit"/>
      </w:tblPr>
      <w:tr>
        <w:trPr>
          <w:cantSplit w:val="true"/>
        </w:trPr>
        <w:tc>
          <w:tcPr>
            <w:tcW w:w="1325" w:type="dxa"/>
            <w:tcBorders/>
            <w:tcMar>
              <w:top w:w="15" w:type="dxa"/>
              <w:left w:w="225" w:type="dxa"/>
              <w:bottom w:w="15" w:type="dxa"/>
              <w:right w:w="15" w:type="dxa"/>
            </w:tcMar>
            <w:vAlign w:val="top"/>
          </w:tcPr>
          <w:p>
            <w:pPr>
              <w:keepNext w:val="true"/>
              <w:keepLines w:val="true"/>
            </w:pPr>
          </w:p>
        </w:tc>
        <w:tc>
          <w:tcPr>
            <w:tcW w:w="287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Net Income</w:t>
            </w:r>
          </w:p>
        </w:tc>
        <w:tc>
          <w:tcPr>
            <w:tcW w:w="26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Dividends</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2023</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$ 200,000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225,000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2025</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250,000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60,000</w:t>
            </w:r>
          </w:p>
        </w:tc>
      </w:tr>
    </w:tbl>
    <w:p>
      <w:pPr>
        <w:keepNext w:val="true"/>
        <w:keepLines w:val="true"/>
        <w:spacing w:after="0"/>
        <w:ind w:left="360"/>
        <w:jc w:val="left"/>
      </w:pPr>
      <w:r>
        <w:rPr>
          <w:rFonts w:ascii="Times New Roman"/>
          <w:b w:val="false"/>
          <w:i w:val="false"/>
          <w:color w:val="000000"/>
          <w:sz w:val="24"/>
        </w:rPr>
        <w:t>On April 1, 2025, just after its first dividend receipt, Mehan sells 10,000 shares of its investment.</w:t>
      </w:r>
      <w:r>
        <w:rPr>
          <w:rFonts w:ascii="Times New Roman"/>
          <w:sz w:val="24"/>
        </w:rPr>
        <w:br/>
      </w:r>
      <w:r>
        <w:rPr>
          <w:rFonts w:ascii="Times New Roman"/>
          <w:b w:val="false"/>
          <w:i w:val="false"/>
          <w:color w:val="000000"/>
          <w:sz w:val="24"/>
        </w:rPr>
        <w:t>How much income did Mehan report from Cook during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$78,750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Mehan, Incorporated purchased 15,000 shares of Cook Company for $150,000 giving Mehan a 15% ownership of Cook. The fair value of the 15% investment was the same as the carrying value of the investment when, on January 1, 2024, Mehan purchased an additional 25,000 shares (25%) of Cook for $300,000. This last purchase gave Mehan the ability to apply significant influence over Cook. The book value of Cook on January 1, 2023, was $1,000,000. The book value of Cook on January 1, 2024, was $1,100,000. Any excess of cost over book value for this second transaction is assigned to a database and amortized over four years.</w:t>
      </w:r>
      <w:r>
        <w:rPr>
          <w:rFonts w:ascii="Times New Roman"/>
          <w:sz w:val="24"/>
        </w:rPr>
        <w:br/>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jc w:val="left"/>
        <w:tblInd w:w="360" w:type="dxa"/>
        <w:tblLayout w:type="autofit"/>
      </w:tblPr>
      <w:tr>
        <w:trPr>
          <w:cantSplit w:val="true"/>
        </w:trPr>
        <w:tc>
          <w:tcPr>
            <w:tcW w:w="1325" w:type="dxa"/>
            <w:tcBorders/>
            <w:tcMar>
              <w:top w:w="15" w:type="dxa"/>
              <w:left w:w="225" w:type="dxa"/>
              <w:bottom w:w="15" w:type="dxa"/>
              <w:right w:w="15" w:type="dxa"/>
            </w:tcMar>
            <w:vAlign w:val="top"/>
          </w:tcPr>
          <w:p>
            <w:pPr>
              <w:keepNext w:val="true"/>
              <w:keepLines w:val="true"/>
            </w:pPr>
          </w:p>
        </w:tc>
        <w:tc>
          <w:tcPr>
            <w:tcW w:w="287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Net Income</w:t>
            </w:r>
          </w:p>
        </w:tc>
        <w:tc>
          <w:tcPr>
            <w:tcW w:w="26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Dividends</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2023</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$ 200,000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225,000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2025</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250,000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60,000</w:t>
            </w:r>
          </w:p>
        </w:tc>
      </w:tr>
    </w:tbl>
    <w:p>
      <w:pPr>
        <w:keepNext w:val="true"/>
        <w:keepLines w:val="true"/>
        <w:spacing w:after="0"/>
        <w:ind w:left="360"/>
        <w:jc w:val="left"/>
      </w:pPr>
      <w:r>
        <w:rPr>
          <w:rFonts w:ascii="Times New Roman"/>
          <w:b w:val="false"/>
          <w:i w:val="false"/>
          <w:color w:val="000000"/>
          <w:sz w:val="24"/>
        </w:rPr>
        <w:t>On April 1, 2025, just after its first dividend receipt, Mehan sells 10,000 shares of its investment.</w:t>
      </w:r>
      <w:r>
        <w:rPr>
          <w:rFonts w:ascii="Times New Roman"/>
          <w:sz w:val="24"/>
        </w:rPr>
        <w:br/>
      </w:r>
      <w:r>
        <w:rPr>
          <w:rFonts w:ascii="Times New Roman"/>
          <w:b w:val="false"/>
          <w:i w:val="false"/>
          <w:color w:val="000000"/>
          <w:sz w:val="24"/>
        </w:rPr>
        <w:t>What was the balance in the investment account at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$517,500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$537,500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$540,000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$211,250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Mehan, Incorporated purchased 15,000 shares of Cook Company for $150,000 giving Mehan a 15% ownership of Cook. The fair value of the 15% investment was the same as the carrying value of the investment when, on January 1, 2024, Mehan purchased an additional 25,000 shares (25%) of Cook for $300,000. This last purchase gave Mehan the ability to apply significant influence over Cook. The book value of Cook on January 1, 2023, was $1,000,000. The book value of Cook on January 1, 2024, was $1,100,000. Any excess of cost over book value for this second transaction is assigned to a database and amortized over four years.</w:t>
      </w:r>
      <w:r>
        <w:rPr>
          <w:rFonts w:ascii="Times New Roman"/>
          <w:sz w:val="24"/>
        </w:rPr>
        <w:br/>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jc w:val="left"/>
        <w:tblInd w:w="360" w:type="dxa"/>
        <w:tblLayout w:type="autofit"/>
      </w:tblPr>
      <w:tr>
        <w:trPr>
          <w:cantSplit w:val="true"/>
        </w:trPr>
        <w:tc>
          <w:tcPr>
            <w:tcW w:w="1325" w:type="dxa"/>
            <w:tcBorders/>
            <w:tcMar>
              <w:top w:w="15" w:type="dxa"/>
              <w:left w:w="225" w:type="dxa"/>
              <w:bottom w:w="15" w:type="dxa"/>
              <w:right w:w="15" w:type="dxa"/>
            </w:tcMar>
            <w:vAlign w:val="top"/>
          </w:tcPr>
          <w:p>
            <w:pPr>
              <w:keepNext w:val="true"/>
              <w:keepLines w:val="true"/>
            </w:pPr>
          </w:p>
        </w:tc>
        <w:tc>
          <w:tcPr>
            <w:tcW w:w="287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Net Income</w:t>
            </w:r>
          </w:p>
        </w:tc>
        <w:tc>
          <w:tcPr>
            <w:tcW w:w="26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Dividends</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2023</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$ 200,000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225,000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2025</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250,000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60,000</w:t>
            </w:r>
          </w:p>
        </w:tc>
      </w:tr>
    </w:tbl>
    <w:p>
      <w:pPr>
        <w:keepNext w:val="true"/>
        <w:keepLines w:val="true"/>
        <w:spacing w:after="0"/>
        <w:ind w:left="360"/>
        <w:jc w:val="left"/>
      </w:pPr>
      <w:r>
        <w:rPr>
          <w:rFonts w:ascii="Times New Roman"/>
          <w:b w:val="false"/>
          <w:i w:val="false"/>
          <w:color w:val="000000"/>
          <w:sz w:val="24"/>
        </w:rPr>
        <w:t>On April 1, 2025, just after its first dividend receipt, Mehan sells 10,000 shares of its investment.</w:t>
      </w:r>
      <w:r>
        <w:rPr>
          <w:rFonts w:ascii="Times New Roman"/>
          <w:sz w:val="24"/>
        </w:rPr>
        <w:br/>
      </w:r>
      <w:r>
        <w:rPr>
          <w:rFonts w:ascii="Times New Roman"/>
          <w:b w:val="false"/>
          <w:i w:val="false"/>
          <w:color w:val="000000"/>
          <w:sz w:val="24"/>
        </w:rPr>
        <w:t>What was the balance in the investment account at April 1, 2025 just before the sale of shares?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$447,500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$468,750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$535,875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$555,000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$624,375</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2023, Mehan, Incorporated purchased 15,000 shares of Cook Company for $150,000 giving Mehan a 15% ownership of Cook. The fair value of the 15% investment was the same as the carrying value of the investment when, on January 1, 2024, Mehan purchased an additional 25,000 shares (25%) of Cook for $300,000. This last purchase gave Mehan the ability to apply significant influence over Cook. The book value of Cook on January 1, 2023, was $1,000,000. The book value of Cook on January 1, 2024, was $1,100,000. Any excess of cost over book value for this second transaction is assigned to a database and amortized over four years.</w:t>
      </w:r>
      <w:r>
        <w:rPr>
          <w:rFonts w:ascii="Times New Roman"/>
          <w:sz w:val="24"/>
        </w:rPr>
        <w:br/>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jc w:val="left"/>
        <w:tblInd w:w="360" w:type="dxa"/>
        <w:tblLayout w:type="autofit"/>
      </w:tblPr>
      <w:tr>
        <w:trPr>
          <w:cantSplit w:val="true"/>
        </w:trPr>
        <w:tc>
          <w:tcPr>
            <w:tcW w:w="1325" w:type="dxa"/>
            <w:tcBorders/>
            <w:tcMar>
              <w:top w:w="15" w:type="dxa"/>
              <w:left w:w="225" w:type="dxa"/>
              <w:bottom w:w="15" w:type="dxa"/>
              <w:right w:w="15" w:type="dxa"/>
            </w:tcMar>
            <w:vAlign w:val="top"/>
          </w:tcPr>
          <w:p>
            <w:pPr>
              <w:keepNext w:val="true"/>
              <w:keepLines w:val="true"/>
            </w:pPr>
          </w:p>
        </w:tc>
        <w:tc>
          <w:tcPr>
            <w:tcW w:w="287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Net Income</w:t>
            </w:r>
          </w:p>
        </w:tc>
        <w:tc>
          <w:tcPr>
            <w:tcW w:w="26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Dividends</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2023</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$ 200,000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225,000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50,000</w:t>
            </w:r>
          </w:p>
        </w:tc>
      </w:tr>
      <w:tr>
        <w:trPr>
          <w:cantSplit w:val="true"/>
        </w:trPr>
        <w:tc>
          <w:tcPr>
            <w:tcW w:w="13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2025</w:t>
            </w:r>
          </w:p>
        </w:tc>
        <w:tc>
          <w:tcPr>
            <w:tcW w:w="2875"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250,000</w:t>
            </w:r>
          </w:p>
        </w:tc>
        <w:tc>
          <w:tcPr>
            <w:tcW w:w="2600"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60,000</w:t>
            </w:r>
          </w:p>
        </w:tc>
      </w:tr>
    </w:tbl>
    <w:p>
      <w:pPr>
        <w:keepNext w:val="true"/>
        <w:keepLines w:val="true"/>
        <w:spacing w:after="0"/>
        <w:ind w:left="360"/>
        <w:jc w:val="left"/>
      </w:pPr>
      <w:r>
        <w:rPr>
          <w:rFonts w:ascii="Times New Roman"/>
          <w:b w:val="false"/>
          <w:i w:val="false"/>
          <w:color w:val="000000"/>
          <w:sz w:val="24"/>
        </w:rPr>
        <w:t>On April 1, 2025, just after its first dividend receipt, Mehan sells 10,000 shares of its investment.</w:t>
      </w:r>
      <w:r>
        <w:rPr>
          <w:rFonts w:ascii="Times New Roman"/>
          <w:sz w:val="24"/>
        </w:rPr>
        <w:br/>
      </w:r>
      <w:r>
        <w:rPr>
          <w:rFonts w:ascii="Times New Roman"/>
          <w:b w:val="false"/>
          <w:i w:val="false"/>
          <w:color w:val="000000"/>
          <w:sz w:val="24"/>
        </w:rPr>
        <w:t>How much of Cook’s net income did Mehan report for the year 2025?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$61,750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$81,250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$59,250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2023, Baxter, Incorporated acquired 40% of the outstanding common stock of Anchor Company for $2,800,000. This investment gave Baxter the ability to exercise significant influence over Anchor. Anchor’s assets on that date were recorded at $11,700,000 with liabilities of $4,700,000. There were no other differences between book and fair values.</w:t>
      </w:r>
      <w:r>
        <w:rPr>
          <w:rFonts w:ascii="Times New Roman"/>
          <w:sz w:val="24"/>
        </w:rPr>
        <w:br/>
      </w:r>
      <w:r>
        <w:rPr>
          <w:rFonts w:ascii="Times New Roman"/>
          <w:b w:val="false"/>
          <w:i w:val="false"/>
          <w:color w:val="000000"/>
          <w:sz w:val="24"/>
        </w:rPr>
        <w:t>During 2023, Anchor reported net income of $600,000. For 2024, Anchor reported net income of $900,000. Dividends of $350,000 were paid in each of these two years.</w:t>
      </w:r>
      <w:r>
        <w:rPr>
          <w:rFonts w:ascii="Times New Roman"/>
          <w:sz w:val="24"/>
        </w:rPr>
        <w:br/>
      </w:r>
      <w:r>
        <w:rPr>
          <w:rFonts w:ascii="Times New Roman"/>
          <w:b w:val="false"/>
          <w:i w:val="false"/>
          <w:color w:val="000000"/>
          <w:sz w:val="24"/>
        </w:rPr>
        <w:t>How much income did Baxter report from Anchor for 2023?</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2023, Baxter, Incorporated acquired 40% of the outstanding common stock of Anchor Company for $2,800,000. This investment gave Baxter the ability to exercise significant influence over Anchor. Anchor’s assets on that date were recorded at $11,700,000 with liabilities of $4,700,000. There were no other differences between book and fair values.</w:t>
      </w:r>
      <w:r>
        <w:rPr>
          <w:rFonts w:ascii="Times New Roman"/>
          <w:sz w:val="24"/>
        </w:rPr>
        <w:br/>
      </w:r>
      <w:r>
        <w:rPr>
          <w:rFonts w:ascii="Times New Roman"/>
          <w:b w:val="false"/>
          <w:i w:val="false"/>
          <w:color w:val="000000"/>
          <w:sz w:val="24"/>
        </w:rPr>
        <w:t>During 2023, Anchor reported net income of $600,000. For 2024, Anchor reported net income of $900,000. Dividends of $350,000 were paid in each of these two years.</w:t>
      </w:r>
      <w:r>
        <w:rPr>
          <w:rFonts w:ascii="Times New Roman"/>
          <w:sz w:val="24"/>
        </w:rPr>
        <w:br/>
      </w:r>
      <w:r>
        <w:rPr>
          <w:rFonts w:ascii="Times New Roman"/>
          <w:b w:val="false"/>
          <w:i w:val="false"/>
          <w:color w:val="000000"/>
          <w:sz w:val="24"/>
        </w:rPr>
        <w:t>How much income did Baxter report from Anchor for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2023, Baxter, Incorporated acquired 40% of the outstanding common stock of Anchor Company for $2,800,000. This investment gave Baxter the ability to exercise significant influence over Anchor. Anchor’s assets on that date were recorded at $11,700,000 with liabilities of $4,700,000. There were no other differences between book and fair values.</w:t>
      </w:r>
      <w:r>
        <w:rPr>
          <w:rFonts w:ascii="Times New Roman"/>
          <w:sz w:val="24"/>
        </w:rPr>
        <w:br/>
      </w:r>
      <w:r>
        <w:rPr>
          <w:rFonts w:ascii="Times New Roman"/>
          <w:b w:val="false"/>
          <w:i w:val="false"/>
          <w:color w:val="000000"/>
          <w:sz w:val="24"/>
        </w:rPr>
        <w:t>During 2023, Anchor reported net income of $600,000. For 2024, Anchor reported net income of $900,000. Dividends of $350,000 were paid in each of these two years.</w:t>
      </w:r>
      <w:r>
        <w:rPr>
          <w:rFonts w:ascii="Times New Roman"/>
          <w:sz w:val="24"/>
        </w:rPr>
        <w:br/>
      </w:r>
      <w:r>
        <w:rPr>
          <w:rFonts w:ascii="Times New Roman"/>
          <w:b w:val="false"/>
          <w:i w:val="false"/>
          <w:color w:val="000000"/>
          <w:sz w:val="24"/>
        </w:rPr>
        <w:t>What was the reported balance of Baxter’s Investment in Anchor Company at December 31, 2023?</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$2,900,000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$3,040,000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$3,180,000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2023, Baxter, Incorporated acquired 40% of the outstanding common stock of Anchor Company for $2,800,000. This investment gave Baxter the ability to exercise significant influence over Anchor. Anchor’s assets on that date were recorded at $11,700,000 with liabilities of $4,700,000. There were no other differences between book and fair values.</w:t>
      </w:r>
      <w:r>
        <w:rPr>
          <w:rFonts w:ascii="Times New Roman"/>
          <w:sz w:val="24"/>
        </w:rPr>
        <w:br/>
      </w:r>
      <w:r>
        <w:rPr>
          <w:rFonts w:ascii="Times New Roman"/>
          <w:b w:val="false"/>
          <w:i w:val="false"/>
          <w:color w:val="000000"/>
          <w:sz w:val="24"/>
        </w:rPr>
        <w:t>During 2023, Anchor reported net income of $600,000. For 2024, Anchor reported net income of $900,000. Dividends of $350,000 were paid in each of these two years.</w:t>
      </w:r>
      <w:r>
        <w:rPr>
          <w:rFonts w:ascii="Times New Roman"/>
          <w:sz w:val="24"/>
        </w:rPr>
        <w:br/>
      </w:r>
      <w:r>
        <w:rPr>
          <w:rFonts w:ascii="Times New Roman"/>
          <w:b w:val="false"/>
          <w:i w:val="false"/>
          <w:color w:val="000000"/>
          <w:sz w:val="24"/>
        </w:rPr>
        <w:t>What was the reported balance of Baxter’s Investment in Anchor Company at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$2,900,000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$3,120,000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$3,260,000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Anderson Company purchased 40% of the voting common stock of Barney Company for $2,000,000, which approximated book value. During 2024, Barney paid dividends of $30,000 and reported a net loss of $70,000.</w:t>
      </w:r>
      <w:r>
        <w:rPr>
          <w:rFonts w:ascii="Times New Roman"/>
          <w:sz w:val="24"/>
        </w:rPr>
        <w:br/>
      </w:r>
      <w:r>
        <w:rPr>
          <w:rFonts w:ascii="Times New Roman"/>
          <w:b w:val="false"/>
          <w:i w:val="false"/>
          <w:color w:val="000000"/>
          <w:sz w:val="24"/>
        </w:rPr>
        <w:t>What is the balance in the investment account on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$1,900,000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$1,960,000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$2,016,000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$2,028,000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Anderson Company purchased 40% of the voting common stock of Barney Company for $2,000,000, which approximated book value. During 2024, Barney paid dividends of $30,000 and reported a net loss of $70,000.</w:t>
      </w:r>
      <w:r>
        <w:rPr>
          <w:rFonts w:ascii="Times New Roman"/>
          <w:sz w:val="24"/>
        </w:rPr>
        <w:br/>
      </w:r>
      <w:r>
        <w:rPr>
          <w:rFonts w:ascii="Times New Roman"/>
          <w:b w:val="false"/>
          <w:i w:val="false"/>
          <w:color w:val="000000"/>
          <w:sz w:val="24"/>
        </w:rPr>
        <w:t>What amount of equity income would Anderson recognize in 2024 from its ownership interest in Barney?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$12,000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$12,000 loss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$16,000 loss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$28,000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$28,000 loss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Luffman Incorporated owns 30% of Bruce Incorporated and appropriately applies the equity method. During the current year, Bruce bought inventory costing $52,000 and then sold it to Luffman for $80,000. At year-end, all of the merchandise had been sold by Luffman to other customers. What amount of gross profit on intra-entity sales must be deferred by Luffman?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2024, Roberts Company purchased 30% of the 100,000 shares of common stock of Thomas Corporation, paying $1,500,000. There was no goodwill or other cost allocation associated with the investment. Roberts has significant influence over Thomas. During 2024, Thomas reported net income of $300,000 and paid dividends of $100,000. On January 4, 2025, Roberts sold 15,000 shares for $800,000.</w:t>
      </w:r>
      <w:r>
        <w:rPr>
          <w:rFonts w:ascii="Times New Roman"/>
          <w:sz w:val="24"/>
        </w:rPr>
        <w:br/>
      </w:r>
      <w:r>
        <w:rPr>
          <w:rFonts w:ascii="Times New Roman"/>
          <w:b w:val="false"/>
          <w:i w:val="false"/>
          <w:color w:val="000000"/>
          <w:sz w:val="24"/>
        </w:rPr>
        <w:t>What was the balance in the investment account before the shares were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$1,700,000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$1,860,000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2024, Roberts Company purchased 30% of the 100,000 shares of common stock of Thomas Corporation, paying $1,500,000. There was no goodwill or other cost allocation associated with the investment. Roberts has significant influence over Thomas. During 2024, Thomas reported net income of $300,000 and paid dividends of $100,000. On January 4, 2025, Roberts sold 15,000 shares for $800,000.</w:t>
      </w:r>
      <w:r>
        <w:rPr>
          <w:rFonts w:ascii="Times New Roman"/>
          <w:sz w:val="24"/>
        </w:rPr>
        <w:br/>
      </w:r>
      <w:r>
        <w:rPr>
          <w:rFonts w:ascii="Times New Roman"/>
          <w:b w:val="false"/>
          <w:i w:val="false"/>
          <w:color w:val="000000"/>
          <w:sz w:val="24"/>
        </w:rPr>
        <w:t>What is the gain or loss on the sale of the 15,000 shares?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 gain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$12,000 loss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 loss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 gain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2024, Roberts Company purchased 30% of the 100,000 shares of common stock of Thomas Corporation, paying $1,500,000. There was no goodwill or other cost allocation associated with the investment. Roberts has significant influence over Thomas. During 2024, Thomas reported net income of $300,000 and paid dividends of $100,000. On January 4, 2025, Roberts sold 15,000 shares for $800,000.</w:t>
      </w:r>
      <w:r>
        <w:rPr>
          <w:rFonts w:ascii="Times New Roman"/>
          <w:sz w:val="24"/>
        </w:rPr>
        <w:br/>
      </w:r>
      <w:r>
        <w:rPr>
          <w:rFonts w:ascii="Times New Roman"/>
          <w:b w:val="false"/>
          <w:i w:val="false"/>
          <w:color w:val="000000"/>
          <w:sz w:val="24"/>
        </w:rPr>
        <w:t>What is the balance in the investment account after the sale of the 15,000 shares?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$750,000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$780,000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$790,000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2024, Roberts Company purchased 30% of the 100,000 shares of common stock of Thomas Corporation, paying $1,500,000. There was no goodwill or other cost allocation associated with the investment. Roberts has significant influence over Thomas. During 2024, Thomas reported net income of $300,000 and paid dividends of $100,000. On January 4, 2025, Roberts sold 15,000 shares for $800,000.</w:t>
      </w:r>
      <w:r>
        <w:rPr>
          <w:rFonts w:ascii="Times New Roman"/>
          <w:sz w:val="24"/>
        </w:rPr>
        <w:br/>
      </w:r>
      <w:r>
        <w:rPr>
          <w:rFonts w:ascii="Times New Roman"/>
          <w:b w:val="false"/>
          <w:i w:val="false"/>
          <w:color w:val="000000"/>
          <w:sz w:val="24"/>
        </w:rPr>
        <w:t>What is the appropriate journal entry to record the sale of the 15,000 shares?</w:t>
      </w:r>
      <w:r>
        <w:rPr>
          <w:rFonts w:ascii="Times New Roman"/>
          <w:sz w:val="24"/>
        </w:rPr>
      </w:r>
    </w:p>
    <w:tbl>
      <w:tblPr>
        <w:jc w:val="left"/>
        <w:tblInd w:w="360" w:type="dxa"/>
        <w:tblLayout w:type="autofit"/>
      </w:tblPr>
      <w:tr>
        <w:trPr>
          <w:cantSplit w:val="true"/>
        </w:trPr>
        <w:tc>
          <w:tcPr>
            <w:tcW w:w="1095"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Event</w:t>
            </w:r>
          </w:p>
        </w:tc>
        <w:tc>
          <w:tcPr>
            <w:tcW w:w="536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Account Title</w:t>
            </w:r>
          </w:p>
        </w:tc>
        <w:tc>
          <w:tcPr>
            <w:tcW w:w="1941" w:type="dxa"/>
            <w:tcBorders/>
            <w:tcMar>
              <w:top w:w="15" w:type="dxa"/>
              <w:left w:w="15" w:type="dxa"/>
              <w:bottom w:w="15" w:type="dxa"/>
              <w:right w:w="225" w:type="dxa"/>
            </w:tcMar>
            <w:vAlign w:val="top"/>
          </w:tcPr>
          <w:p>
            <w:pPr>
              <w:keepNext w:val="true"/>
              <w:keepLines w:val="true"/>
              <w:spacing w:after="0"/>
              <w:ind w:left="0"/>
              <w:jc w:val="center"/>
            </w:pPr>
            <w:r>
              <w:rPr>
                <w:rFonts w:ascii="Courier New" w:hAnsi="Courier New"/>
                <w:b/>
                <w:i w:val="false"/>
                <w:color w:val="000000"/>
                <w:sz w:val="22"/>
              </w:rPr>
              <w:t>Debit</w:t>
            </w:r>
          </w:p>
        </w:tc>
        <w:tc>
          <w:tcPr>
            <w:tcW w:w="2196" w:type="dxa"/>
            <w:tcBorders/>
            <w:tcMar>
              <w:top w:w="15" w:type="dxa"/>
              <w:left w:w="15" w:type="dxa"/>
              <w:bottom w:w="15" w:type="dxa"/>
              <w:right w:w="300"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1095"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A)</w:t>
            </w:r>
          </w:p>
        </w:tc>
        <w:tc>
          <w:tcPr>
            <w:tcW w:w="536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41"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800,000</w:t>
            </w:r>
          </w:p>
        </w:tc>
        <w:tc>
          <w:tcPr>
            <w:tcW w:w="2196" w:type="dxa"/>
            <w:tcBorders/>
            <w:tcMar>
              <w:top w:w="15" w:type="dxa"/>
              <w:left w:w="15" w:type="dxa"/>
              <w:bottom w:w="15" w:type="dxa"/>
              <w:right w:w="300" w:type="dxa"/>
            </w:tcMar>
            <w:vAlign w:val="top"/>
          </w:tcPr>
          <w:p>
            <w:pPr>
              <w:keepNext w:val="true"/>
              <w:keepLines w:val="true"/>
            </w:pPr>
          </w:p>
        </w:tc>
      </w:tr>
      <w:tr>
        <w:trPr>
          <w:cantSplit w:val="true"/>
        </w:trPr>
        <w:tc>
          <w:tcPr>
            <w:tcW w:w="1095" w:type="dxa"/>
            <w:tcBorders/>
            <w:tcMar>
              <w:top w:w="15" w:type="dxa"/>
              <w:left w:w="225" w:type="dxa"/>
              <w:bottom w:w="15" w:type="dxa"/>
              <w:right w:w="15" w:type="dxa"/>
            </w:tcMar>
            <w:vAlign w:val="top"/>
          </w:tcPr>
          <w:p>
            <w:pPr>
              <w:keepNext w:val="true"/>
              <w:keepLines w:val="true"/>
            </w:pPr>
          </w:p>
        </w:tc>
        <w:tc>
          <w:tcPr>
            <w:tcW w:w="536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Thomas</w:t>
            </w:r>
          </w:p>
        </w:tc>
        <w:tc>
          <w:tcPr>
            <w:tcW w:w="1941" w:type="dxa"/>
            <w:tcBorders/>
            <w:tcMar>
              <w:top w:w="15" w:type="dxa"/>
              <w:left w:w="15" w:type="dxa"/>
              <w:bottom w:w="15" w:type="dxa"/>
              <w:right w:w="225" w:type="dxa"/>
            </w:tcMar>
            <w:vAlign w:val="top"/>
          </w:tcPr>
          <w:p>
            <w:pPr>
              <w:keepNext w:val="true"/>
              <w:keepLines w:val="true"/>
            </w:pPr>
          </w:p>
        </w:tc>
        <w:tc>
          <w:tcPr>
            <w:tcW w:w="219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800,000</w:t>
            </w:r>
          </w:p>
        </w:tc>
      </w:tr>
      <w:tr>
        <w:trPr>
          <w:cantSplit w:val="true"/>
        </w:trPr>
        <w:tc>
          <w:tcPr>
            <w:tcW w:w="1095"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B)</w:t>
            </w:r>
          </w:p>
        </w:tc>
        <w:tc>
          <w:tcPr>
            <w:tcW w:w="536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41"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800,000</w:t>
            </w:r>
          </w:p>
        </w:tc>
        <w:tc>
          <w:tcPr>
            <w:tcW w:w="2196" w:type="dxa"/>
            <w:tcBorders/>
            <w:tcMar>
              <w:top w:w="15" w:type="dxa"/>
              <w:left w:w="15" w:type="dxa"/>
              <w:bottom w:w="15" w:type="dxa"/>
              <w:right w:w="300" w:type="dxa"/>
            </w:tcMar>
            <w:vAlign w:val="top"/>
          </w:tcPr>
          <w:p>
            <w:pPr>
              <w:keepNext w:val="true"/>
              <w:keepLines w:val="true"/>
            </w:pPr>
          </w:p>
        </w:tc>
      </w:tr>
      <w:tr>
        <w:trPr>
          <w:cantSplit w:val="true"/>
        </w:trPr>
        <w:tc>
          <w:tcPr>
            <w:tcW w:w="1095" w:type="dxa"/>
            <w:tcBorders/>
            <w:tcMar>
              <w:top w:w="15" w:type="dxa"/>
              <w:left w:w="225" w:type="dxa"/>
              <w:bottom w:w="15" w:type="dxa"/>
              <w:right w:w="15" w:type="dxa"/>
            </w:tcMar>
            <w:vAlign w:val="top"/>
          </w:tcPr>
          <w:p>
            <w:pPr>
              <w:keepNext w:val="true"/>
              <w:keepLines w:val="true"/>
            </w:pPr>
          </w:p>
        </w:tc>
        <w:tc>
          <w:tcPr>
            <w:tcW w:w="536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Thomas</w:t>
            </w:r>
          </w:p>
        </w:tc>
        <w:tc>
          <w:tcPr>
            <w:tcW w:w="1941" w:type="dxa"/>
            <w:tcBorders/>
            <w:tcMar>
              <w:top w:w="15" w:type="dxa"/>
              <w:left w:w="15" w:type="dxa"/>
              <w:bottom w:w="15" w:type="dxa"/>
              <w:right w:w="225" w:type="dxa"/>
            </w:tcMar>
            <w:vAlign w:val="top"/>
          </w:tcPr>
          <w:p>
            <w:pPr>
              <w:keepNext w:val="true"/>
              <w:keepLines w:val="true"/>
            </w:pPr>
          </w:p>
        </w:tc>
        <w:tc>
          <w:tcPr>
            <w:tcW w:w="219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780,000</w:t>
            </w:r>
          </w:p>
        </w:tc>
      </w:tr>
      <w:tr>
        <w:trPr>
          <w:cantSplit w:val="true"/>
        </w:trPr>
        <w:tc>
          <w:tcPr>
            <w:tcW w:w="1095" w:type="dxa"/>
            <w:tcBorders/>
            <w:tcMar>
              <w:top w:w="15" w:type="dxa"/>
              <w:left w:w="225" w:type="dxa"/>
              <w:bottom w:w="15" w:type="dxa"/>
              <w:right w:w="15" w:type="dxa"/>
            </w:tcMar>
            <w:vAlign w:val="top"/>
          </w:tcPr>
          <w:p>
            <w:pPr>
              <w:keepNext w:val="true"/>
              <w:keepLines w:val="true"/>
            </w:pPr>
          </w:p>
        </w:tc>
        <w:tc>
          <w:tcPr>
            <w:tcW w:w="536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Gain on sale of investment</w:t>
            </w:r>
          </w:p>
        </w:tc>
        <w:tc>
          <w:tcPr>
            <w:tcW w:w="1941" w:type="dxa"/>
            <w:tcBorders/>
            <w:tcMar>
              <w:top w:w="15" w:type="dxa"/>
              <w:left w:w="15" w:type="dxa"/>
              <w:bottom w:w="15" w:type="dxa"/>
              <w:right w:w="225" w:type="dxa"/>
            </w:tcMar>
            <w:vAlign w:val="top"/>
          </w:tcPr>
          <w:p>
            <w:pPr>
              <w:keepNext w:val="true"/>
              <w:keepLines w:val="true"/>
            </w:pPr>
          </w:p>
        </w:tc>
        <w:tc>
          <w:tcPr>
            <w:tcW w:w="219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20,000</w:t>
            </w:r>
          </w:p>
        </w:tc>
      </w:tr>
      <w:tr>
        <w:trPr>
          <w:cantSplit w:val="true"/>
        </w:trPr>
        <w:tc>
          <w:tcPr>
            <w:tcW w:w="1095"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C)</w:t>
            </w:r>
          </w:p>
        </w:tc>
        <w:tc>
          <w:tcPr>
            <w:tcW w:w="536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41"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800,000</w:t>
            </w:r>
          </w:p>
        </w:tc>
        <w:tc>
          <w:tcPr>
            <w:tcW w:w="2196" w:type="dxa"/>
            <w:tcBorders/>
            <w:tcMar>
              <w:top w:w="15" w:type="dxa"/>
              <w:left w:w="15" w:type="dxa"/>
              <w:bottom w:w="15" w:type="dxa"/>
              <w:right w:w="300" w:type="dxa"/>
            </w:tcMar>
            <w:vAlign w:val="top"/>
          </w:tcPr>
          <w:p>
            <w:pPr>
              <w:keepNext w:val="true"/>
              <w:keepLines w:val="true"/>
            </w:pPr>
          </w:p>
        </w:tc>
      </w:tr>
      <w:tr>
        <w:trPr>
          <w:cantSplit w:val="true"/>
        </w:trPr>
        <w:tc>
          <w:tcPr>
            <w:tcW w:w="1095" w:type="dxa"/>
            <w:tcBorders/>
            <w:tcMar>
              <w:top w:w="15" w:type="dxa"/>
              <w:left w:w="225" w:type="dxa"/>
              <w:bottom w:w="15" w:type="dxa"/>
              <w:right w:w="15" w:type="dxa"/>
            </w:tcMar>
            <w:vAlign w:val="top"/>
          </w:tcPr>
          <w:p>
            <w:pPr>
              <w:keepNext w:val="true"/>
              <w:keepLines w:val="true"/>
            </w:pPr>
          </w:p>
        </w:tc>
        <w:tc>
          <w:tcPr>
            <w:tcW w:w="536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Loss on investment</w:t>
            </w:r>
          </w:p>
        </w:tc>
        <w:tc>
          <w:tcPr>
            <w:tcW w:w="1941"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12,000</w:t>
            </w:r>
          </w:p>
        </w:tc>
        <w:tc>
          <w:tcPr>
            <w:tcW w:w="2196" w:type="dxa"/>
            <w:tcBorders/>
            <w:tcMar>
              <w:top w:w="15" w:type="dxa"/>
              <w:left w:w="15" w:type="dxa"/>
              <w:bottom w:w="15" w:type="dxa"/>
              <w:right w:w="300" w:type="dxa"/>
            </w:tcMar>
            <w:vAlign w:val="top"/>
          </w:tcPr>
          <w:p>
            <w:pPr>
              <w:keepNext w:val="true"/>
              <w:keepLines w:val="true"/>
            </w:pPr>
          </w:p>
        </w:tc>
      </w:tr>
      <w:tr>
        <w:trPr>
          <w:cantSplit w:val="true"/>
        </w:trPr>
        <w:tc>
          <w:tcPr>
            <w:tcW w:w="1095" w:type="dxa"/>
            <w:tcBorders/>
            <w:tcMar>
              <w:top w:w="15" w:type="dxa"/>
              <w:left w:w="225" w:type="dxa"/>
              <w:bottom w:w="15" w:type="dxa"/>
              <w:right w:w="15" w:type="dxa"/>
            </w:tcMar>
            <w:vAlign w:val="top"/>
          </w:tcPr>
          <w:p>
            <w:pPr>
              <w:keepNext w:val="true"/>
              <w:keepLines w:val="true"/>
            </w:pPr>
          </w:p>
        </w:tc>
        <w:tc>
          <w:tcPr>
            <w:tcW w:w="536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Thomas</w:t>
            </w:r>
          </w:p>
        </w:tc>
        <w:tc>
          <w:tcPr>
            <w:tcW w:w="1941" w:type="dxa"/>
            <w:tcBorders/>
            <w:tcMar>
              <w:top w:w="15" w:type="dxa"/>
              <w:left w:w="15" w:type="dxa"/>
              <w:bottom w:w="15" w:type="dxa"/>
              <w:right w:w="225" w:type="dxa"/>
            </w:tcMar>
            <w:vAlign w:val="top"/>
          </w:tcPr>
          <w:p>
            <w:pPr>
              <w:keepNext w:val="true"/>
              <w:keepLines w:val="true"/>
            </w:pPr>
          </w:p>
        </w:tc>
        <w:tc>
          <w:tcPr>
            <w:tcW w:w="219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812,000</w:t>
            </w:r>
          </w:p>
        </w:tc>
      </w:tr>
      <w:tr>
        <w:trPr>
          <w:cantSplit w:val="true"/>
        </w:trPr>
        <w:tc>
          <w:tcPr>
            <w:tcW w:w="1095"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D)</w:t>
            </w:r>
          </w:p>
        </w:tc>
        <w:tc>
          <w:tcPr>
            <w:tcW w:w="536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41"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800,000</w:t>
            </w:r>
          </w:p>
        </w:tc>
        <w:tc>
          <w:tcPr>
            <w:tcW w:w="2196" w:type="dxa"/>
            <w:tcBorders/>
            <w:tcMar>
              <w:top w:w="15" w:type="dxa"/>
              <w:left w:w="15" w:type="dxa"/>
              <w:bottom w:w="15" w:type="dxa"/>
              <w:right w:w="300" w:type="dxa"/>
            </w:tcMar>
            <w:vAlign w:val="top"/>
          </w:tcPr>
          <w:p>
            <w:pPr>
              <w:keepNext w:val="true"/>
              <w:keepLines w:val="true"/>
            </w:pPr>
          </w:p>
        </w:tc>
      </w:tr>
      <w:tr>
        <w:trPr>
          <w:cantSplit w:val="true"/>
        </w:trPr>
        <w:tc>
          <w:tcPr>
            <w:tcW w:w="1095" w:type="dxa"/>
            <w:tcBorders/>
            <w:tcMar>
              <w:top w:w="15" w:type="dxa"/>
              <w:left w:w="225" w:type="dxa"/>
              <w:bottom w:w="15" w:type="dxa"/>
              <w:right w:w="15" w:type="dxa"/>
            </w:tcMar>
            <w:vAlign w:val="top"/>
          </w:tcPr>
          <w:p>
            <w:pPr>
              <w:keepNext w:val="true"/>
              <w:keepLines w:val="true"/>
            </w:pPr>
          </w:p>
        </w:tc>
        <w:tc>
          <w:tcPr>
            <w:tcW w:w="536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Thomas</w:t>
            </w:r>
          </w:p>
        </w:tc>
        <w:tc>
          <w:tcPr>
            <w:tcW w:w="1941" w:type="dxa"/>
            <w:tcBorders/>
            <w:tcMar>
              <w:top w:w="15" w:type="dxa"/>
              <w:left w:w="15" w:type="dxa"/>
              <w:bottom w:w="15" w:type="dxa"/>
              <w:right w:w="225" w:type="dxa"/>
            </w:tcMar>
            <w:vAlign w:val="top"/>
          </w:tcPr>
          <w:p>
            <w:pPr>
              <w:keepNext w:val="true"/>
              <w:keepLines w:val="true"/>
            </w:pPr>
          </w:p>
        </w:tc>
        <w:tc>
          <w:tcPr>
            <w:tcW w:w="219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790,000</w:t>
            </w:r>
          </w:p>
        </w:tc>
      </w:tr>
      <w:tr>
        <w:trPr>
          <w:cantSplit w:val="true"/>
        </w:trPr>
        <w:tc>
          <w:tcPr>
            <w:tcW w:w="1095" w:type="dxa"/>
            <w:tcBorders/>
            <w:tcMar>
              <w:top w:w="15" w:type="dxa"/>
              <w:left w:w="225" w:type="dxa"/>
              <w:bottom w:w="15" w:type="dxa"/>
              <w:right w:w="15" w:type="dxa"/>
            </w:tcMar>
            <w:vAlign w:val="top"/>
          </w:tcPr>
          <w:p>
            <w:pPr>
              <w:keepNext w:val="true"/>
              <w:keepLines w:val="true"/>
            </w:pPr>
          </w:p>
        </w:tc>
        <w:tc>
          <w:tcPr>
            <w:tcW w:w="536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Gain on sale of investment</w:t>
            </w:r>
          </w:p>
        </w:tc>
        <w:tc>
          <w:tcPr>
            <w:tcW w:w="1941" w:type="dxa"/>
            <w:tcBorders/>
            <w:tcMar>
              <w:top w:w="15" w:type="dxa"/>
              <w:left w:w="15" w:type="dxa"/>
              <w:bottom w:w="15" w:type="dxa"/>
              <w:right w:w="225" w:type="dxa"/>
            </w:tcMar>
            <w:vAlign w:val="top"/>
          </w:tcPr>
          <w:p>
            <w:pPr>
              <w:keepNext w:val="true"/>
              <w:keepLines w:val="true"/>
            </w:pPr>
          </w:p>
        </w:tc>
        <w:tc>
          <w:tcPr>
            <w:tcW w:w="219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10,000</w:t>
            </w:r>
          </w:p>
        </w:tc>
      </w:tr>
      <w:tr>
        <w:trPr>
          <w:cantSplit w:val="true"/>
        </w:trPr>
        <w:tc>
          <w:tcPr>
            <w:tcW w:w="1095"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E)</w:t>
            </w:r>
          </w:p>
        </w:tc>
        <w:tc>
          <w:tcPr>
            <w:tcW w:w="536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41"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800,000</w:t>
            </w:r>
          </w:p>
        </w:tc>
        <w:tc>
          <w:tcPr>
            <w:tcW w:w="2196" w:type="dxa"/>
            <w:tcBorders/>
            <w:tcMar>
              <w:top w:w="15" w:type="dxa"/>
              <w:left w:w="15" w:type="dxa"/>
              <w:bottom w:w="15" w:type="dxa"/>
              <w:right w:w="300" w:type="dxa"/>
            </w:tcMar>
            <w:vAlign w:val="top"/>
          </w:tcPr>
          <w:p>
            <w:pPr>
              <w:keepNext w:val="true"/>
              <w:keepLines w:val="true"/>
            </w:pPr>
          </w:p>
        </w:tc>
      </w:tr>
      <w:tr>
        <w:trPr>
          <w:cantSplit w:val="true"/>
        </w:trPr>
        <w:tc>
          <w:tcPr>
            <w:tcW w:w="1095" w:type="dxa"/>
            <w:tcBorders/>
            <w:tcMar>
              <w:top w:w="15" w:type="dxa"/>
              <w:left w:w="225" w:type="dxa"/>
              <w:bottom w:w="15" w:type="dxa"/>
              <w:right w:w="15" w:type="dxa"/>
            </w:tcMar>
            <w:vAlign w:val="top"/>
          </w:tcPr>
          <w:p>
            <w:pPr>
              <w:keepNext w:val="true"/>
              <w:keepLines w:val="true"/>
            </w:pPr>
          </w:p>
        </w:tc>
        <w:tc>
          <w:tcPr>
            <w:tcW w:w="536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Loss on sale of investment</w:t>
            </w:r>
          </w:p>
        </w:tc>
        <w:tc>
          <w:tcPr>
            <w:tcW w:w="1941" w:type="dxa"/>
            <w:tcBorders/>
            <w:tcMar>
              <w:top w:w="15" w:type="dxa"/>
              <w:left w:w="15" w:type="dxa"/>
              <w:bottom w:w="15" w:type="dxa"/>
              <w:right w:w="225" w:type="dxa"/>
            </w:tcMar>
            <w:vAlign w:val="top"/>
          </w:tcPr>
          <w:p>
            <w:pPr>
              <w:keepNext w:val="true"/>
              <w:keepLines w:val="true"/>
              <w:spacing w:after="0"/>
              <w:ind w:left="0"/>
              <w:jc w:val="right"/>
            </w:pPr>
            <w:r>
              <w:rPr>
                <w:rFonts w:ascii="Courier New" w:hAnsi="Courier New"/>
                <w:b w:val="false"/>
                <w:i w:val="false"/>
                <w:color w:val="000000"/>
                <w:sz w:val="22"/>
              </w:rPr>
              <w:t>15,000</w:t>
            </w:r>
          </w:p>
        </w:tc>
        <w:tc>
          <w:tcPr>
            <w:tcW w:w="2196" w:type="dxa"/>
            <w:tcBorders/>
            <w:tcMar>
              <w:top w:w="15" w:type="dxa"/>
              <w:left w:w="15" w:type="dxa"/>
              <w:bottom w:w="15" w:type="dxa"/>
              <w:right w:w="300" w:type="dxa"/>
            </w:tcMar>
            <w:vAlign w:val="top"/>
          </w:tcPr>
          <w:p>
            <w:pPr>
              <w:keepNext w:val="true"/>
              <w:keepLines w:val="true"/>
            </w:pPr>
          </w:p>
        </w:tc>
      </w:tr>
      <w:tr>
        <w:trPr>
          <w:cantSplit w:val="true"/>
        </w:trPr>
        <w:tc>
          <w:tcPr>
            <w:tcW w:w="1095" w:type="dxa"/>
            <w:tcBorders/>
            <w:tcMar>
              <w:top w:w="15" w:type="dxa"/>
              <w:left w:w="225" w:type="dxa"/>
              <w:bottom w:w="15" w:type="dxa"/>
              <w:right w:w="15" w:type="dxa"/>
            </w:tcMar>
            <w:vAlign w:val="top"/>
          </w:tcPr>
          <w:p>
            <w:pPr>
              <w:keepNext w:val="true"/>
              <w:keepLines w:val="true"/>
            </w:pPr>
          </w:p>
        </w:tc>
        <w:tc>
          <w:tcPr>
            <w:tcW w:w="536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Thomas</w:t>
            </w:r>
          </w:p>
        </w:tc>
        <w:tc>
          <w:tcPr>
            <w:tcW w:w="1941" w:type="dxa"/>
            <w:tcBorders/>
            <w:tcMar>
              <w:top w:w="15" w:type="dxa"/>
              <w:left w:w="15" w:type="dxa"/>
              <w:bottom w:w="15" w:type="dxa"/>
              <w:right w:w="225" w:type="dxa"/>
            </w:tcMar>
            <w:vAlign w:val="top"/>
          </w:tcPr>
          <w:p>
            <w:pPr>
              <w:keepNext w:val="true"/>
              <w:keepLines w:val="true"/>
            </w:pPr>
          </w:p>
        </w:tc>
        <w:tc>
          <w:tcPr>
            <w:tcW w:w="2196"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815,000</w:t>
            </w:r>
          </w:p>
        </w:tc>
      </w:tr>
    </w:tbl>
    <w:p>
      <w:pPr>
        <w:pStyle w:val="ListParagraph"/>
        <w:keepNext w:val="true"/>
        <w:keepLines w:val="true"/>
        <w:numPr>
          <w:ilvl w:val="7"/>
          <w:numId w:val="2"/>
        </w:numPr>
        <w:spacing w:after="0"/>
        <w:jc w:val="left"/>
      </w:pPr>
      <w:r>
        <w:rPr>
          <w:rFonts w:ascii="Times New Roman"/>
          <w:b w:val="false"/>
          <w:i w:val="false"/>
          <w:color w:val="000000"/>
          <w:sz w:val="24"/>
        </w:rPr>
        <w:t>Entry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B</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2024, Mason Company purchased 40,000 shares (40%) of the common stock of Hefly Corporation, paying $560,000. At that time, the book value and fair value of Hefly’s net assets was $1,400,000. The investment gave Mason the ability to exercise significant influence over the operations of Hefly. During 2024, Hefly reported income of $150,000 and paid dividends of $40,000. On January 2, 2025, Mason sold 10,000 shares for $150,000.</w:t>
      </w:r>
      <w:r>
        <w:rPr>
          <w:rFonts w:ascii="Times New Roman"/>
          <w:sz w:val="24"/>
        </w:rPr>
        <w:br/>
      </w:r>
      <w:r>
        <w:rPr>
          <w:rFonts w:ascii="Times New Roman"/>
          <w:b w:val="false"/>
          <w:i w:val="false"/>
          <w:color w:val="000000"/>
          <w:sz w:val="24"/>
        </w:rPr>
        <w:t>What was the balance in the investment account before the shares were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$544,000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$620,000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2024, Mason Company purchased 40,000 shares (40%) of the common stock of Hefly Corporation, paying $560,000. At that time, the book value and fair value of Hefly’s net assets was $1,400,000. The investment gave Mason the ability to exercise significant influence over the operations of Hefly. During 2024, Hefly reported income of $150,000 and paid dividends of $40,000. On January 2, 2025, Mason sold 10,000 shares for $150,000.</w:t>
      </w:r>
      <w:r>
        <w:rPr>
          <w:rFonts w:ascii="Times New Roman"/>
          <w:sz w:val="24"/>
        </w:rPr>
        <w:br/>
      </w:r>
      <w:r>
        <w:rPr>
          <w:rFonts w:ascii="Times New Roman"/>
          <w:b w:val="false"/>
          <w:i w:val="false"/>
          <w:color w:val="000000"/>
          <w:sz w:val="24"/>
        </w:rPr>
        <w:t>What is the gain or loss on the sale of the 10,000 shares?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 gain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 gain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 gain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 loss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 loss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2024, Mason Company purchased 40,000 shares (40%) of the common stock of Hefly Corporation, paying $560,000. At that time, the book value and fair value of Hefly’s net assets was $1,400,000. The investment gave Mason the ability to exercise significant influence over the operations of Hefly. During 2024, Hefly reported income of $150,000 and paid dividends of $40,000. On January 2, 2025, Mason sold 10,000 shares for $150,000.</w:t>
      </w:r>
      <w:r>
        <w:rPr>
          <w:rFonts w:ascii="Times New Roman"/>
          <w:sz w:val="24"/>
        </w:rPr>
        <w:br/>
      </w:r>
      <w:r>
        <w:rPr>
          <w:rFonts w:ascii="Times New Roman"/>
          <w:b w:val="false"/>
          <w:i w:val="false"/>
          <w:color w:val="000000"/>
          <w:sz w:val="24"/>
        </w:rPr>
        <w:t>What is the balance in the investment account after the sale of the 10,000 shares?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$390,000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$453,000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$454,000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$465,000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2024, Mason Company purchased 40,000 shares (40%) of the common stock of Hefly Corporation, paying $560,000. At that time, the book value and fair value of Hefly’s net assets was $1,400,000. The investment gave Mason the ability to exercise significant influence over the operations of Hefly. During 2024, Hefly reported income of $150,000 and paid dividends of $40,000. On January 2, 2025, Mason sold 10,000 shares for $150,000.</w:t>
      </w:r>
      <w:r>
        <w:rPr>
          <w:rFonts w:ascii="Times New Roman"/>
          <w:sz w:val="24"/>
        </w:rPr>
        <w:br/>
      </w:r>
      <w:r>
        <w:rPr>
          <w:rFonts w:ascii="Times New Roman"/>
          <w:b w:val="false"/>
          <w:i w:val="false"/>
          <w:color w:val="000000"/>
          <w:sz w:val="24"/>
        </w:rPr>
        <w:t>What is the appropriate journal entry to record the sale of the 10,000 shares?</w:t>
      </w:r>
      <w:r>
        <w:rPr>
          <w:rFonts w:ascii="Times New Roman"/>
          <w:sz w:val="24"/>
        </w:rPr>
      </w:r>
    </w:p>
    <w:tbl>
      <w:tblPr>
        <w:jc w:val="left"/>
        <w:tblInd w:w="360" w:type="dxa"/>
        <w:tblLayout w:type="autofit"/>
      </w:tblPr>
      <w:tr>
        <w:trPr>
          <w:cantSplit w:val="true"/>
        </w:trPr>
        <w:tc>
          <w:tcPr>
            <w:tcW w:w="1094"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Event</w:t>
            </w:r>
          </w:p>
        </w:tc>
        <w:tc>
          <w:tcPr>
            <w:tcW w:w="526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Account Title</w:t>
            </w: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i w:val="false"/>
                <w:color w:val="000000"/>
                <w:sz w:val="22"/>
              </w:rPr>
              <w:t>Debit</w:t>
            </w: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i w:val="false"/>
                <w:color w:val="000000"/>
                <w:sz w:val="22"/>
              </w:rPr>
              <w:t>Credit</w:t>
            </w:r>
          </w:p>
        </w:tc>
      </w:tr>
      <w:tr>
        <w:trPr>
          <w:cantSplit w:val="true"/>
        </w:trPr>
        <w:tc>
          <w:tcPr>
            <w:tcW w:w="1094"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A)</w:t>
            </w:r>
          </w:p>
        </w:tc>
        <w:tc>
          <w:tcPr>
            <w:tcW w:w="526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150,000</w:t>
            </w:r>
          </w:p>
        </w:tc>
        <w:tc>
          <w:tcPr>
            <w:tcW w:w="2023" w:type="dxa"/>
            <w:tcBorders/>
            <w:tcMar>
              <w:top w:w="15" w:type="dxa"/>
              <w:left w:w="15" w:type="dxa"/>
              <w:bottom w:w="15" w:type="dxa"/>
              <w:right w:w="300" w:type="dxa"/>
            </w:tcMar>
            <w:vAlign w:val="top"/>
          </w:tcPr>
          <w:p>
            <w:pPr>
              <w:keepNext w:val="true"/>
              <w:keepLines w:val="true"/>
            </w:pPr>
          </w:p>
        </w:tc>
      </w:tr>
      <w:tr>
        <w:trPr>
          <w:cantSplit w:val="true"/>
        </w:trPr>
        <w:tc>
          <w:tcPr>
            <w:tcW w:w="1094" w:type="dxa"/>
            <w:tcBorders/>
            <w:tcMar>
              <w:top w:w="15" w:type="dxa"/>
              <w:left w:w="225" w:type="dxa"/>
              <w:bottom w:w="15" w:type="dxa"/>
              <w:right w:w="15" w:type="dxa"/>
            </w:tcMar>
            <w:vAlign w:val="top"/>
          </w:tcPr>
          <w:p>
            <w:pPr>
              <w:keepNext w:val="true"/>
              <w:keepLines w:val="true"/>
            </w:pPr>
          </w:p>
        </w:tc>
        <w:tc>
          <w:tcPr>
            <w:tcW w:w="526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Hefly</w:t>
            </w:r>
          </w:p>
        </w:tc>
        <w:tc>
          <w:tcPr>
            <w:tcW w:w="2023" w:type="dxa"/>
            <w:tcBorders/>
            <w:tcMar>
              <w:top w:w="15" w:type="dxa"/>
              <w:left w:w="15" w:type="dxa"/>
              <w:bottom w:w="15" w:type="dxa"/>
              <w:right w:w="300" w:type="dxa"/>
            </w:tcMar>
            <w:vAlign w:val="top"/>
          </w:tcPr>
          <w:p>
            <w:pPr>
              <w:keepNext w:val="true"/>
              <w:keepLines w:val="true"/>
            </w:pP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150,000</w:t>
            </w:r>
          </w:p>
        </w:tc>
      </w:tr>
      <w:tr>
        <w:trPr>
          <w:cantSplit w:val="true"/>
        </w:trPr>
        <w:tc>
          <w:tcPr>
            <w:tcW w:w="1094"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B)</w:t>
            </w:r>
          </w:p>
        </w:tc>
        <w:tc>
          <w:tcPr>
            <w:tcW w:w="526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150,000</w:t>
            </w:r>
          </w:p>
        </w:tc>
        <w:tc>
          <w:tcPr>
            <w:tcW w:w="2023" w:type="dxa"/>
            <w:tcBorders/>
            <w:tcMar>
              <w:top w:w="15" w:type="dxa"/>
              <w:left w:w="15" w:type="dxa"/>
              <w:bottom w:w="15" w:type="dxa"/>
              <w:right w:w="300" w:type="dxa"/>
            </w:tcMar>
            <w:vAlign w:val="top"/>
          </w:tcPr>
          <w:p>
            <w:pPr>
              <w:keepNext w:val="true"/>
              <w:keepLines w:val="true"/>
            </w:pPr>
          </w:p>
        </w:tc>
      </w:tr>
      <w:tr>
        <w:trPr>
          <w:cantSplit w:val="true"/>
        </w:trPr>
        <w:tc>
          <w:tcPr>
            <w:tcW w:w="1094" w:type="dxa"/>
            <w:tcBorders/>
            <w:tcMar>
              <w:top w:w="15" w:type="dxa"/>
              <w:left w:w="225" w:type="dxa"/>
              <w:bottom w:w="15" w:type="dxa"/>
              <w:right w:w="15" w:type="dxa"/>
            </w:tcMar>
            <w:vAlign w:val="top"/>
          </w:tcPr>
          <w:p>
            <w:pPr>
              <w:keepNext w:val="true"/>
              <w:keepLines w:val="true"/>
            </w:pPr>
          </w:p>
        </w:tc>
        <w:tc>
          <w:tcPr>
            <w:tcW w:w="526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Hefly</w:t>
            </w:r>
          </w:p>
        </w:tc>
        <w:tc>
          <w:tcPr>
            <w:tcW w:w="2023" w:type="dxa"/>
            <w:tcBorders/>
            <w:tcMar>
              <w:top w:w="15" w:type="dxa"/>
              <w:left w:w="15" w:type="dxa"/>
              <w:bottom w:w="15" w:type="dxa"/>
              <w:right w:w="300" w:type="dxa"/>
            </w:tcMar>
            <w:vAlign w:val="top"/>
          </w:tcPr>
          <w:p>
            <w:pPr>
              <w:keepNext w:val="true"/>
              <w:keepLines w:val="true"/>
            </w:pP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130,000</w:t>
            </w:r>
          </w:p>
        </w:tc>
      </w:tr>
      <w:tr>
        <w:trPr>
          <w:cantSplit w:val="true"/>
        </w:trPr>
        <w:tc>
          <w:tcPr>
            <w:tcW w:w="1094" w:type="dxa"/>
            <w:tcBorders/>
            <w:tcMar>
              <w:top w:w="15" w:type="dxa"/>
              <w:left w:w="225" w:type="dxa"/>
              <w:bottom w:w="15" w:type="dxa"/>
              <w:right w:w="15" w:type="dxa"/>
            </w:tcMar>
            <w:vAlign w:val="top"/>
          </w:tcPr>
          <w:p>
            <w:pPr>
              <w:keepNext w:val="true"/>
              <w:keepLines w:val="true"/>
            </w:pPr>
          </w:p>
        </w:tc>
        <w:tc>
          <w:tcPr>
            <w:tcW w:w="526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Gain on sale of investment</w:t>
            </w:r>
          </w:p>
        </w:tc>
        <w:tc>
          <w:tcPr>
            <w:tcW w:w="2023" w:type="dxa"/>
            <w:tcBorders/>
            <w:tcMar>
              <w:top w:w="15" w:type="dxa"/>
              <w:left w:w="15" w:type="dxa"/>
              <w:bottom w:w="15" w:type="dxa"/>
              <w:right w:w="300" w:type="dxa"/>
            </w:tcMar>
            <w:vAlign w:val="top"/>
          </w:tcPr>
          <w:p>
            <w:pPr>
              <w:keepNext w:val="true"/>
              <w:keepLines w:val="true"/>
            </w:pP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20,000</w:t>
            </w:r>
          </w:p>
        </w:tc>
      </w:tr>
      <w:tr>
        <w:trPr>
          <w:cantSplit w:val="true"/>
        </w:trPr>
        <w:tc>
          <w:tcPr>
            <w:tcW w:w="1094"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C)</w:t>
            </w:r>
          </w:p>
        </w:tc>
        <w:tc>
          <w:tcPr>
            <w:tcW w:w="526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150,000</w:t>
            </w:r>
          </w:p>
        </w:tc>
        <w:tc>
          <w:tcPr>
            <w:tcW w:w="2023" w:type="dxa"/>
            <w:tcBorders/>
            <w:tcMar>
              <w:top w:w="15" w:type="dxa"/>
              <w:left w:w="15" w:type="dxa"/>
              <w:bottom w:w="15" w:type="dxa"/>
              <w:right w:w="300" w:type="dxa"/>
            </w:tcMar>
            <w:vAlign w:val="top"/>
          </w:tcPr>
          <w:p>
            <w:pPr>
              <w:keepNext w:val="true"/>
              <w:keepLines w:val="true"/>
            </w:pPr>
          </w:p>
        </w:tc>
      </w:tr>
      <w:tr>
        <w:trPr>
          <w:cantSplit w:val="true"/>
        </w:trPr>
        <w:tc>
          <w:tcPr>
            <w:tcW w:w="1094" w:type="dxa"/>
            <w:tcBorders/>
            <w:tcMar>
              <w:top w:w="15" w:type="dxa"/>
              <w:left w:w="225" w:type="dxa"/>
              <w:bottom w:w="15" w:type="dxa"/>
              <w:right w:w="15" w:type="dxa"/>
            </w:tcMar>
            <w:vAlign w:val="top"/>
          </w:tcPr>
          <w:p>
            <w:pPr>
              <w:keepNext w:val="true"/>
              <w:keepLines w:val="true"/>
            </w:pPr>
          </w:p>
        </w:tc>
        <w:tc>
          <w:tcPr>
            <w:tcW w:w="526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Loss on sale of investment</w:t>
            </w: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1,000</w:t>
            </w:r>
          </w:p>
        </w:tc>
        <w:tc>
          <w:tcPr>
            <w:tcW w:w="2023" w:type="dxa"/>
            <w:tcBorders/>
            <w:tcMar>
              <w:top w:w="15" w:type="dxa"/>
              <w:left w:w="15" w:type="dxa"/>
              <w:bottom w:w="15" w:type="dxa"/>
              <w:right w:w="300" w:type="dxa"/>
            </w:tcMar>
            <w:vAlign w:val="top"/>
          </w:tcPr>
          <w:p>
            <w:pPr>
              <w:keepNext w:val="true"/>
              <w:keepLines w:val="true"/>
            </w:pPr>
          </w:p>
        </w:tc>
      </w:tr>
      <w:tr>
        <w:trPr>
          <w:cantSplit w:val="true"/>
        </w:trPr>
        <w:tc>
          <w:tcPr>
            <w:tcW w:w="1094" w:type="dxa"/>
            <w:tcBorders/>
            <w:tcMar>
              <w:top w:w="15" w:type="dxa"/>
              <w:left w:w="225" w:type="dxa"/>
              <w:bottom w:w="15" w:type="dxa"/>
              <w:right w:w="15" w:type="dxa"/>
            </w:tcMar>
            <w:vAlign w:val="top"/>
          </w:tcPr>
          <w:p>
            <w:pPr>
              <w:keepNext w:val="true"/>
              <w:keepLines w:val="true"/>
            </w:pPr>
          </w:p>
        </w:tc>
        <w:tc>
          <w:tcPr>
            <w:tcW w:w="526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Hefly</w:t>
            </w:r>
          </w:p>
        </w:tc>
        <w:tc>
          <w:tcPr>
            <w:tcW w:w="2023" w:type="dxa"/>
            <w:tcBorders/>
            <w:tcMar>
              <w:top w:w="15" w:type="dxa"/>
              <w:left w:w="15" w:type="dxa"/>
              <w:bottom w:w="15" w:type="dxa"/>
              <w:right w:w="300" w:type="dxa"/>
            </w:tcMar>
            <w:vAlign w:val="top"/>
          </w:tcPr>
          <w:p>
            <w:pPr>
              <w:keepNext w:val="true"/>
              <w:keepLines w:val="true"/>
            </w:pP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151,000</w:t>
            </w:r>
          </w:p>
        </w:tc>
      </w:tr>
      <w:tr>
        <w:trPr>
          <w:cantSplit w:val="true"/>
        </w:trPr>
        <w:tc>
          <w:tcPr>
            <w:tcW w:w="1094"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D)</w:t>
            </w:r>
          </w:p>
        </w:tc>
        <w:tc>
          <w:tcPr>
            <w:tcW w:w="526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150,000</w:t>
            </w:r>
          </w:p>
        </w:tc>
        <w:tc>
          <w:tcPr>
            <w:tcW w:w="2023" w:type="dxa"/>
            <w:tcBorders/>
            <w:tcMar>
              <w:top w:w="15" w:type="dxa"/>
              <w:left w:w="15" w:type="dxa"/>
              <w:bottom w:w="15" w:type="dxa"/>
              <w:right w:w="300" w:type="dxa"/>
            </w:tcMar>
            <w:vAlign w:val="top"/>
          </w:tcPr>
          <w:p>
            <w:pPr>
              <w:keepNext w:val="true"/>
              <w:keepLines w:val="true"/>
            </w:pPr>
          </w:p>
        </w:tc>
      </w:tr>
      <w:tr>
        <w:trPr>
          <w:cantSplit w:val="true"/>
        </w:trPr>
        <w:tc>
          <w:tcPr>
            <w:tcW w:w="1094" w:type="dxa"/>
            <w:tcBorders/>
            <w:tcMar>
              <w:top w:w="15" w:type="dxa"/>
              <w:left w:w="225" w:type="dxa"/>
              <w:bottom w:w="15" w:type="dxa"/>
              <w:right w:w="15" w:type="dxa"/>
            </w:tcMar>
            <w:vAlign w:val="top"/>
          </w:tcPr>
          <w:p>
            <w:pPr>
              <w:keepNext w:val="true"/>
              <w:keepLines w:val="true"/>
            </w:pPr>
          </w:p>
        </w:tc>
        <w:tc>
          <w:tcPr>
            <w:tcW w:w="526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Hefly</w:t>
            </w:r>
          </w:p>
        </w:tc>
        <w:tc>
          <w:tcPr>
            <w:tcW w:w="2023" w:type="dxa"/>
            <w:tcBorders/>
            <w:tcMar>
              <w:top w:w="15" w:type="dxa"/>
              <w:left w:w="15" w:type="dxa"/>
              <w:bottom w:w="15" w:type="dxa"/>
              <w:right w:w="300" w:type="dxa"/>
            </w:tcMar>
            <w:vAlign w:val="top"/>
          </w:tcPr>
          <w:p>
            <w:pPr>
              <w:keepNext w:val="true"/>
              <w:keepLines w:val="true"/>
            </w:pP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149,000</w:t>
            </w:r>
          </w:p>
        </w:tc>
      </w:tr>
      <w:tr>
        <w:trPr>
          <w:cantSplit w:val="true"/>
        </w:trPr>
        <w:tc>
          <w:tcPr>
            <w:tcW w:w="1094" w:type="dxa"/>
            <w:tcBorders/>
            <w:tcMar>
              <w:top w:w="15" w:type="dxa"/>
              <w:left w:w="225" w:type="dxa"/>
              <w:bottom w:w="15" w:type="dxa"/>
              <w:right w:w="15" w:type="dxa"/>
            </w:tcMar>
            <w:vAlign w:val="top"/>
          </w:tcPr>
          <w:p>
            <w:pPr>
              <w:keepNext w:val="true"/>
              <w:keepLines w:val="true"/>
            </w:pPr>
          </w:p>
        </w:tc>
        <w:tc>
          <w:tcPr>
            <w:tcW w:w="526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Gain on sale of investment</w:t>
            </w:r>
          </w:p>
        </w:tc>
        <w:tc>
          <w:tcPr>
            <w:tcW w:w="2023" w:type="dxa"/>
            <w:tcBorders/>
            <w:tcMar>
              <w:top w:w="15" w:type="dxa"/>
              <w:left w:w="15" w:type="dxa"/>
              <w:bottom w:w="15" w:type="dxa"/>
              <w:right w:w="300" w:type="dxa"/>
            </w:tcMar>
            <w:vAlign w:val="top"/>
          </w:tcPr>
          <w:p>
            <w:pPr>
              <w:keepNext w:val="true"/>
              <w:keepLines w:val="true"/>
            </w:pP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1,000</w:t>
            </w:r>
          </w:p>
        </w:tc>
      </w:tr>
      <w:tr>
        <w:trPr>
          <w:cantSplit w:val="true"/>
        </w:trPr>
        <w:tc>
          <w:tcPr>
            <w:tcW w:w="1094" w:type="dxa"/>
            <w:tcBorders/>
            <w:tcMar>
              <w:top w:w="15" w:type="dxa"/>
              <w:left w:w="225" w:type="dxa"/>
              <w:bottom w:w="15" w:type="dxa"/>
              <w:right w:w="15" w:type="dxa"/>
            </w:tcMar>
            <w:vAlign w:val="top"/>
          </w:tcPr>
          <w:p>
            <w:pPr>
              <w:keepNext w:val="true"/>
              <w:keepLines w:val="true"/>
              <w:spacing w:after="0"/>
              <w:ind w:left="0"/>
              <w:jc w:val="right"/>
            </w:pPr>
            <w:r>
              <w:rPr>
                <w:rFonts w:ascii="Courier New" w:hAnsi="Courier New"/>
                <w:b/>
                <w:i w:val="false"/>
                <w:color w:val="000000"/>
                <w:sz w:val="22"/>
              </w:rPr>
              <w:t>E)</w:t>
            </w:r>
          </w:p>
        </w:tc>
        <w:tc>
          <w:tcPr>
            <w:tcW w:w="526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150,000</w:t>
            </w:r>
          </w:p>
        </w:tc>
        <w:tc>
          <w:tcPr>
            <w:tcW w:w="2023" w:type="dxa"/>
            <w:tcBorders/>
            <w:tcMar>
              <w:top w:w="15" w:type="dxa"/>
              <w:left w:w="15" w:type="dxa"/>
              <w:bottom w:w="15" w:type="dxa"/>
              <w:right w:w="300" w:type="dxa"/>
            </w:tcMar>
            <w:vAlign w:val="top"/>
          </w:tcPr>
          <w:p>
            <w:pPr>
              <w:keepNext w:val="true"/>
              <w:keepLines w:val="true"/>
            </w:pPr>
          </w:p>
        </w:tc>
      </w:tr>
      <w:tr>
        <w:trPr>
          <w:cantSplit w:val="true"/>
        </w:trPr>
        <w:tc>
          <w:tcPr>
            <w:tcW w:w="1094" w:type="dxa"/>
            <w:tcBorders/>
            <w:tcMar>
              <w:top w:w="15" w:type="dxa"/>
              <w:left w:w="225" w:type="dxa"/>
              <w:bottom w:w="15" w:type="dxa"/>
              <w:right w:w="15" w:type="dxa"/>
            </w:tcMar>
            <w:vAlign w:val="top"/>
          </w:tcPr>
          <w:p>
            <w:pPr>
              <w:keepNext w:val="true"/>
              <w:keepLines w:val="true"/>
            </w:pPr>
          </w:p>
        </w:tc>
        <w:tc>
          <w:tcPr>
            <w:tcW w:w="526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Loss on sale of investment</w:t>
            </w: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10,000</w:t>
            </w:r>
          </w:p>
        </w:tc>
        <w:tc>
          <w:tcPr>
            <w:tcW w:w="2023" w:type="dxa"/>
            <w:tcBorders/>
            <w:tcMar>
              <w:top w:w="15" w:type="dxa"/>
              <w:left w:w="15" w:type="dxa"/>
              <w:bottom w:w="15" w:type="dxa"/>
              <w:right w:w="300" w:type="dxa"/>
            </w:tcMar>
            <w:vAlign w:val="top"/>
          </w:tcPr>
          <w:p>
            <w:pPr>
              <w:keepNext w:val="true"/>
              <w:keepLines w:val="true"/>
            </w:pPr>
          </w:p>
        </w:tc>
      </w:tr>
      <w:tr>
        <w:trPr>
          <w:cantSplit w:val="true"/>
        </w:trPr>
        <w:tc>
          <w:tcPr>
            <w:tcW w:w="1094" w:type="dxa"/>
            <w:tcBorders/>
            <w:tcMar>
              <w:top w:w="15" w:type="dxa"/>
              <w:left w:w="225" w:type="dxa"/>
              <w:bottom w:w="15" w:type="dxa"/>
              <w:right w:w="15" w:type="dxa"/>
            </w:tcMar>
            <w:vAlign w:val="top"/>
          </w:tcPr>
          <w:p>
            <w:pPr>
              <w:keepNext w:val="true"/>
              <w:keepLines w:val="true"/>
            </w:pPr>
          </w:p>
        </w:tc>
        <w:tc>
          <w:tcPr>
            <w:tcW w:w="526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Hefly</w:t>
            </w:r>
          </w:p>
        </w:tc>
        <w:tc>
          <w:tcPr>
            <w:tcW w:w="2023" w:type="dxa"/>
            <w:tcBorders/>
            <w:tcMar>
              <w:top w:w="15" w:type="dxa"/>
              <w:left w:w="15" w:type="dxa"/>
              <w:bottom w:w="15" w:type="dxa"/>
              <w:right w:w="300" w:type="dxa"/>
            </w:tcMar>
            <w:vAlign w:val="top"/>
          </w:tcPr>
          <w:p>
            <w:pPr>
              <w:keepNext w:val="true"/>
              <w:keepLines w:val="true"/>
            </w:pPr>
          </w:p>
        </w:tc>
        <w:tc>
          <w:tcPr>
            <w:tcW w:w="202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160,000</w:t>
            </w:r>
          </w:p>
        </w:tc>
      </w:tr>
    </w:tbl>
    <w:p>
      <w:pPr>
        <w:pStyle w:val="ListParagraph"/>
        <w:keepNext w:val="true"/>
        <w:keepLines w:val="true"/>
        <w:numPr>
          <w:ilvl w:val="7"/>
          <w:numId w:val="2"/>
        </w:numPr>
        <w:spacing w:after="0"/>
        <w:jc w:val="left"/>
      </w:pPr>
      <w:r>
        <w:rPr>
          <w:rFonts w:ascii="Times New Roman"/>
          <w:b w:val="false"/>
          <w:i w:val="false"/>
          <w:color w:val="000000"/>
          <w:sz w:val="24"/>
        </w:rPr>
        <w:t>Entry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B</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Entry 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2, 2024, Barley Corporation purchased 40% of the voting common stock of Wheat Company, paying $3,000,000. Barley properly accounts for this investment using the equity method. At the time of the investment, Wheat’s total stockholders’ equity was $5,000,000. Barley gathered the following information about Wheat’s assets and liabilities whose book values and fair values differed:</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xml:space="preserve"> </w:t>
      </w:r>
      <w:r>
        <w:rPr>
          <w:rFonts w:ascii="Times New Roman"/>
          <w:b w:val="false"/>
          <w:i w:val="false"/>
          <w:color w:val="000000"/>
          <w:sz w:val="24"/>
        </w:rPr>
        <w:t xml:space="preserve"> </w:t>
      </w:r>
      <w:r>
        <w:rPr>
          <w:rFonts w:ascii="Times New Roman"/>
          <w:b w:val="false"/>
          <w:i w:val="false"/>
          <w:color w:val="000000"/>
          <w:sz w:val="24"/>
        </w:rPr>
        <w:t xml:space="preserve"> </w:t>
      </w:r>
      <w:r>
        <w:rPr>
          <w:rFonts w:ascii="Times New Roman"/>
          <w:sz w:val="24"/>
        </w:rPr>
      </w:r>
    </w:p>
    <w:tbl>
      <w:tblPr>
        <w:jc w:val="left"/>
        <w:tblInd w:w="360" w:type="dxa"/>
        <w:tblLayout w:type="autofit"/>
      </w:tblPr>
      <w:tr>
        <w:trPr>
          <w:cantSplit w:val="true"/>
        </w:trPr>
        <w:tc>
          <w:tcPr>
            <w:tcW w:w="5872" w:type="dxa"/>
            <w:tcBorders/>
            <w:tcMar>
              <w:top w:w="15" w:type="dxa"/>
              <w:left w:w="225" w:type="dxa"/>
              <w:bottom w:w="15" w:type="dxa"/>
              <w:right w:w="15" w:type="dxa"/>
            </w:tcMar>
            <w:vAlign w:val="top"/>
          </w:tcPr>
          <w:p>
            <w:pPr>
              <w:keepNext w:val="true"/>
              <w:keepLines w:val="true"/>
            </w:pPr>
          </w:p>
        </w:tc>
        <w:tc>
          <w:tcPr>
            <w:tcW w:w="2564"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Book Value</w:t>
            </w:r>
          </w:p>
        </w:tc>
        <w:tc>
          <w:tcPr>
            <w:tcW w:w="2564"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Fair Value</w:t>
            </w:r>
          </w:p>
        </w:tc>
      </w:tr>
      <w:tr>
        <w:trPr>
          <w:cantSplit w:val="true"/>
        </w:trPr>
        <w:tc>
          <w:tcPr>
            <w:tcW w:w="587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 (20-year life)</w:t>
            </w:r>
          </w:p>
        </w:tc>
        <w:tc>
          <w:tcPr>
            <w:tcW w:w="2564"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$ 1,000,000</w:t>
            </w:r>
          </w:p>
        </w:tc>
        <w:tc>
          <w:tcPr>
            <w:tcW w:w="2564"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$ 1,800,000</w:t>
            </w:r>
          </w:p>
        </w:tc>
      </w:tr>
      <w:tr>
        <w:trPr>
          <w:cantSplit w:val="true"/>
        </w:trPr>
        <w:tc>
          <w:tcPr>
            <w:tcW w:w="587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 (5-year life)</w:t>
            </w:r>
          </w:p>
        </w:tc>
        <w:tc>
          <w:tcPr>
            <w:tcW w:w="2564"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1,500,000</w:t>
            </w:r>
          </w:p>
        </w:tc>
        <w:tc>
          <w:tcPr>
            <w:tcW w:w="2564"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2,000,000</w:t>
            </w:r>
          </w:p>
        </w:tc>
      </w:tr>
      <w:tr>
        <w:trPr>
          <w:cantSplit w:val="true"/>
        </w:trPr>
        <w:tc>
          <w:tcPr>
            <w:tcW w:w="587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Franchises (10-year life)</w:t>
            </w:r>
          </w:p>
        </w:tc>
        <w:tc>
          <w:tcPr>
            <w:tcW w:w="2564"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0</w:t>
            </w:r>
          </w:p>
        </w:tc>
        <w:tc>
          <w:tcPr>
            <w:tcW w:w="2564" w:type="dxa"/>
            <w:tcBorders/>
            <w:tcMar>
              <w:top w:w="15" w:type="dxa"/>
              <w:left w:w="15" w:type="dxa"/>
              <w:bottom w:w="15" w:type="dxa"/>
              <w:right w:w="375" w:type="dxa"/>
            </w:tcMar>
            <w:vAlign w:val="top"/>
          </w:tcPr>
          <w:p>
            <w:pPr>
              <w:keepNext w:val="true"/>
              <w:keepLines w:val="true"/>
              <w:spacing w:after="0"/>
              <w:ind w:left="0"/>
              <w:jc w:val="right"/>
            </w:pPr>
            <w:r>
              <w:rPr>
                <w:rFonts w:ascii="Courier New" w:hAnsi="Courier New"/>
                <w:b w:val="false"/>
                <w:i w:val="false"/>
                <w:color w:val="000000"/>
                <w:sz w:val="22"/>
              </w:rPr>
              <w:t>700,000</w:t>
            </w:r>
          </w:p>
        </w:tc>
      </w:tr>
    </w:tbl>
    <w:p>
      <w:pPr>
        <w:keepNext w:val="true"/>
        <w:keepLines w:val="true"/>
        <w:spacing w:after="0"/>
        <w:ind w:left="360"/>
        <w:jc w:val="left"/>
      </w:pPr>
      <w:r>
        <w:rPr>
          <w:rFonts w:ascii="Times New Roman"/>
          <w:b w:val="false"/>
          <w:i w:val="false"/>
          <w:color w:val="000000"/>
          <w:sz w:val="24"/>
        </w:rPr>
        <w:t>Any excess of cost over fair value was attributed to goodwill, which has not been impaired. Wheat reported net income of $400,000 for 2024, and paid dividends of $200,000 during that year.</w:t>
      </w:r>
      <w:r>
        <w:rPr>
          <w:rFonts w:ascii="Times New Roman"/>
          <w:sz w:val="24"/>
        </w:rPr>
        <w:br/>
      </w:r>
      <w:r>
        <w:rPr>
          <w:rFonts w:ascii="Times New Roman"/>
          <w:b w:val="false"/>
          <w:i w:val="false"/>
          <w:color w:val="000000"/>
          <w:sz w:val="24"/>
        </w:rPr>
        <w:t>What is the amount of the excess of purchase price over book value?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2, 2024, Barley Corporation purchased 40% of the voting common stock of Wheat Company, paying $3,000,000. Barley properly accounts for this investment using the equity method. At the time of the investment, Wheat’s total stockholders’ equity was $5,000,000. Barley gathered the following information about Wheat’s assets and liabilities whose book values and fair values differed:</w:t>
      </w:r>
      <w:r>
        <w:rPr>
          <w:rFonts w:ascii="Times New Roman"/>
          <w:sz w:val="24"/>
        </w:rPr>
      </w:r>
    </w:p>
    <w:tbl>
      <w:tblPr>
        <w:jc w:val="left"/>
        <w:tblInd w:w="360" w:type="dxa"/>
        <w:tblLayout w:type="autofit"/>
      </w:tblPr>
      <w:tr>
        <w:trPr>
          <w:cantSplit w:val="true"/>
        </w:trPr>
        <w:tc>
          <w:tcPr>
            <w:tcW w:w="5562" w:type="dxa"/>
            <w:tcBorders/>
            <w:tcMar>
              <w:top w:w="15" w:type="dxa"/>
              <w:left w:w="225" w:type="dxa"/>
              <w:bottom w:w="15" w:type="dxa"/>
              <w:right w:w="15" w:type="dxa"/>
            </w:tcMar>
            <w:vAlign w:val="top"/>
          </w:tcPr>
          <w:p>
            <w:pPr>
              <w:keepNext w:val="true"/>
              <w:keepLines w:val="true"/>
            </w:pPr>
          </w:p>
        </w:tc>
        <w:tc>
          <w:tcPr>
            <w:tcW w:w="271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Book Value</w:t>
            </w:r>
          </w:p>
        </w:tc>
        <w:tc>
          <w:tcPr>
            <w:tcW w:w="271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Fair Value</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 (20-year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$ 1,000,000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$ 1,800,000</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 (5-year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1,500,000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2,000,000</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Franchises (10-year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700,000</w:t>
            </w:r>
          </w:p>
        </w:tc>
      </w:tr>
    </w:tbl>
    <w:p>
      <w:pPr>
        <w:keepNext w:val="true"/>
        <w:keepLines w:val="true"/>
        <w:spacing w:after="0"/>
        <w:ind w:left="360"/>
        <w:jc w:val="left"/>
      </w:pPr>
      <w:r>
        <w:rPr>
          <w:rFonts w:ascii="Times New Roman"/>
          <w:b w:val="false"/>
          <w:i w:val="false"/>
          <w:color w:val="000000"/>
          <w:sz w:val="24"/>
        </w:rPr>
        <w:t>Any excess of cost over fair value was attributed to goodwill, which has not been impaired. Wheat reported net income of $400,000 for 2024, and paid dividends of $200,000 during that year.</w:t>
      </w:r>
      <w:r>
        <w:rPr>
          <w:rFonts w:ascii="Times New Roman"/>
          <w:sz w:val="24"/>
        </w:rPr>
        <w:br/>
      </w:r>
      <w:r>
        <w:rPr>
          <w:rFonts w:ascii="Times New Roman"/>
          <w:b w:val="false"/>
          <w:i w:val="false"/>
          <w:color w:val="000000"/>
          <w:sz w:val="24"/>
        </w:rPr>
        <w:t>How much goodwill is associated with this investment?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2, 2024, Barley Corporation purchased 40% of the voting common stock of Wheat Company, paying $3,000,000. Barley properly accounts for this investment using the equity method. At the time of the investment, Wheat’s total stockholders’ equity was $5,000,000. Barley gathered the following information about Wheat’s assets and liabilities whose book values and fair values differed:</w:t>
      </w:r>
      <w:r>
        <w:rPr>
          <w:rFonts w:ascii="Times New Roman"/>
          <w:sz w:val="24"/>
        </w:rPr>
      </w:r>
    </w:p>
    <w:tbl>
      <w:tblPr>
        <w:jc w:val="left"/>
        <w:tblInd w:w="360" w:type="dxa"/>
        <w:tblLayout w:type="autofit"/>
      </w:tblPr>
      <w:tr>
        <w:trPr>
          <w:cantSplit w:val="true"/>
        </w:trPr>
        <w:tc>
          <w:tcPr>
            <w:tcW w:w="5562" w:type="dxa"/>
            <w:tcBorders/>
            <w:tcMar>
              <w:top w:w="15" w:type="dxa"/>
              <w:left w:w="225" w:type="dxa"/>
              <w:bottom w:w="15" w:type="dxa"/>
              <w:right w:w="15" w:type="dxa"/>
            </w:tcMar>
            <w:vAlign w:val="top"/>
          </w:tcPr>
          <w:p>
            <w:pPr>
              <w:keepNext w:val="true"/>
              <w:keepLines w:val="true"/>
            </w:pPr>
          </w:p>
        </w:tc>
        <w:tc>
          <w:tcPr>
            <w:tcW w:w="271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Book Value</w:t>
            </w:r>
          </w:p>
        </w:tc>
        <w:tc>
          <w:tcPr>
            <w:tcW w:w="271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Fair Value</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 (20-year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$ 1,000,000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$ 1,800,000</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 (5-year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1,500,000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2,000,000</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Franchises (10-year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700,000</w:t>
            </w:r>
          </w:p>
        </w:tc>
      </w:tr>
    </w:tbl>
    <w:p>
      <w:pPr>
        <w:keepNext w:val="true"/>
        <w:keepLines w:val="true"/>
        <w:spacing w:after="0"/>
        <w:ind w:left="360"/>
        <w:jc w:val="left"/>
      </w:pPr>
      <w:r>
        <w:rPr>
          <w:rFonts w:ascii="Times New Roman"/>
          <w:b w:val="false"/>
          <w:i w:val="false"/>
          <w:color w:val="000000"/>
          <w:sz w:val="24"/>
        </w:rPr>
        <w:t>Any excess of cost over fair value was attributed to goodwill, which has not been impaired. Wheat reported net income of $400,000 for 2024, and paid dividends of $200,000 during that year.</w:t>
      </w:r>
      <w:r>
        <w:rPr>
          <w:rFonts w:ascii="Times New Roman"/>
          <w:sz w:val="24"/>
        </w:rPr>
        <w:br/>
      </w:r>
      <w:r>
        <w:rPr>
          <w:rFonts w:ascii="Times New Roman"/>
          <w:b w:val="false"/>
          <w:i w:val="false"/>
          <w:color w:val="000000"/>
          <w:sz w:val="24"/>
        </w:rPr>
        <w:t>What is the amount of excess amortization expense for Barley’s investment in Wheat for the first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Jackie Corporation purchased 30% of the voting common stock of Rob Company, paying $2,000,000. Jackie properly accounts for this investment using the equity method. At the time of the investment, Rob’s total stockholders’ equity was $3,000,000. Jackie gathered the following information about Rob’s assets and liabilities whose book values and fair values differed:</w:t>
      </w:r>
      <w:r>
        <w:rPr>
          <w:rFonts w:ascii="Times New Roman"/>
          <w:sz w:val="24"/>
        </w:rPr>
      </w:r>
    </w:p>
    <w:tbl>
      <w:tblPr>
        <w:jc w:val="left"/>
        <w:tblInd w:w="360" w:type="dxa"/>
        <w:tblLayout w:type="autofit"/>
      </w:tblPr>
      <w:tr>
        <w:trPr>
          <w:cantSplit w:val="true"/>
        </w:trPr>
        <w:tc>
          <w:tcPr>
            <w:tcW w:w="5562" w:type="dxa"/>
            <w:tcBorders/>
            <w:tcMar>
              <w:top w:w="15" w:type="dxa"/>
              <w:left w:w="225" w:type="dxa"/>
              <w:bottom w:w="15" w:type="dxa"/>
              <w:right w:w="15" w:type="dxa"/>
            </w:tcMar>
            <w:vAlign w:val="top"/>
          </w:tcPr>
          <w:p>
            <w:pPr>
              <w:keepNext w:val="true"/>
              <w:keepLines w:val="true"/>
            </w:pPr>
          </w:p>
        </w:tc>
        <w:tc>
          <w:tcPr>
            <w:tcW w:w="271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Book Value</w:t>
            </w:r>
          </w:p>
        </w:tc>
        <w:tc>
          <w:tcPr>
            <w:tcW w:w="271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Fair Value</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 (15-year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$ 1,000,000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$ 1,500,000</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 (5-year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2,500,000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3,000,000</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Franchises (10-year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$ 500,000</w:t>
            </w:r>
          </w:p>
        </w:tc>
      </w:tr>
    </w:tbl>
    <w:p>
      <w:pPr>
        <w:keepNext w:val="true"/>
        <w:keepLines w:val="true"/>
        <w:spacing w:after="0"/>
        <w:ind w:left="360"/>
        <w:jc w:val="left"/>
      </w:pPr>
      <w:r>
        <w:rPr>
          <w:rFonts w:ascii="Times New Roman"/>
          <w:b w:val="false"/>
          <w:i w:val="false"/>
          <w:color w:val="000000"/>
          <w:sz w:val="24"/>
        </w:rPr>
        <w:t>Any excess of cost over fair value was attributed to goodwill, which has not been impaired. Rob reported net income of $300,000 for 2024, and paid dividends of $100,000 during that year.</w:t>
      </w:r>
      <w:r>
        <w:rPr>
          <w:rFonts w:ascii="Times New Roman"/>
          <w:sz w:val="24"/>
        </w:rPr>
        <w:br/>
      </w:r>
      <w:r>
        <w:rPr>
          <w:rFonts w:ascii="Times New Roman"/>
          <w:b w:val="false"/>
          <w:i w:val="false"/>
          <w:color w:val="000000"/>
          <w:sz w:val="24"/>
        </w:rPr>
        <w:t>What is the amount of the excess of purchase price over book value?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$1,100,000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Jackie Corporation purchased 30% of the voting common stock of Rob Company, paying $2,000,000. Jackie properly accounts for this investment using the equity method. At the time of the investment, Rob’s total stockholders’ equity was $3,000,000. Jackie gathered the following information about Rob’s assets and liabilities whose book values and fair values differed:</w:t>
      </w:r>
      <w:r>
        <w:rPr>
          <w:rFonts w:ascii="Times New Roman"/>
          <w:sz w:val="24"/>
        </w:rPr>
      </w:r>
    </w:p>
    <w:tbl>
      <w:tblPr>
        <w:jc w:val="left"/>
        <w:tblInd w:w="360" w:type="dxa"/>
        <w:tblLayout w:type="autofit"/>
      </w:tblPr>
      <w:tr>
        <w:trPr>
          <w:cantSplit w:val="true"/>
        </w:trPr>
        <w:tc>
          <w:tcPr>
            <w:tcW w:w="5562" w:type="dxa"/>
            <w:tcBorders/>
            <w:tcMar>
              <w:top w:w="15" w:type="dxa"/>
              <w:left w:w="225" w:type="dxa"/>
              <w:bottom w:w="15" w:type="dxa"/>
              <w:right w:w="15" w:type="dxa"/>
            </w:tcMar>
            <w:vAlign w:val="top"/>
          </w:tcPr>
          <w:p>
            <w:pPr>
              <w:keepNext w:val="true"/>
              <w:keepLines w:val="true"/>
            </w:pPr>
          </w:p>
        </w:tc>
        <w:tc>
          <w:tcPr>
            <w:tcW w:w="271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Book Value</w:t>
            </w:r>
          </w:p>
        </w:tc>
        <w:tc>
          <w:tcPr>
            <w:tcW w:w="271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Fair Value</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 (15-year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$ 1,000,000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$ 1,500,000</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 (5-year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2,500,000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3,000,000</w:t>
            </w:r>
          </w:p>
        </w:tc>
      </w:tr>
      <w:tr>
        <w:trPr>
          <w:cantSplit w:val="true"/>
        </w:trPr>
        <w:tc>
          <w:tcPr>
            <w:tcW w:w="556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Franchises (10-year life)</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$ 0</w:t>
            </w:r>
          </w:p>
        </w:tc>
        <w:tc>
          <w:tcPr>
            <w:tcW w:w="271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$ 500,000</w:t>
            </w:r>
          </w:p>
        </w:tc>
      </w:tr>
    </w:tbl>
    <w:p>
      <w:pPr>
        <w:keepNext w:val="true"/>
        <w:keepLines w:val="true"/>
        <w:spacing w:after="0"/>
        <w:ind w:left="360"/>
        <w:jc w:val="left"/>
      </w:pPr>
      <w:r>
        <w:rPr>
          <w:rFonts w:ascii="Times New Roman"/>
          <w:b w:val="false"/>
          <w:i w:val="false"/>
          <w:color w:val="000000"/>
          <w:sz w:val="24"/>
        </w:rPr>
        <w:t>Any excess of cost over fair value was attributed to goodwill, which has not been impaired. Rob reported net income of $300,000 for 2024, and paid dividends of $100,000 during that year.</w:t>
      </w:r>
      <w:r>
        <w:rPr>
          <w:rFonts w:ascii="Times New Roman"/>
          <w:sz w:val="24"/>
        </w:rPr>
        <w:br/>
      </w:r>
      <w:r>
        <w:rPr>
          <w:rFonts w:ascii="Times New Roman"/>
          <w:b w:val="false"/>
          <w:i w:val="false"/>
          <w:color w:val="000000"/>
          <w:sz w:val="24"/>
        </w:rPr>
        <w:t>How much goodwill is associated with this investment?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$650,000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Jackie Corporation purchased 30% of the voting common stock of Rob Company, paying $2,000,000. Jackie properly accounts for this investment using the equity method. At the time of the investment, Rob’s total stockholders’ equity was $3,000,000. Jackie gathered the following information about Rob’s assets and liabilities whose book values and fair values differed:</w:t>
      </w:r>
      <w:r>
        <w:rPr>
          <w:rFonts w:ascii="Times New Roman"/>
          <w:sz w:val="24"/>
        </w:rPr>
      </w:r>
    </w:p>
    <w:tbl>
      <w:tblPr>
        <w:jc w:val="left"/>
        <w:tblInd w:w="360" w:type="dxa"/>
        <w:tblLayout w:type="autofit"/>
      </w:tblPr>
      <w:tr>
        <w:trPr>
          <w:cantSplit w:val="true"/>
        </w:trPr>
        <w:tc>
          <w:tcPr>
            <w:tcW w:w="4750" w:type="dxa"/>
            <w:tcBorders/>
            <w:tcMar>
              <w:top w:w="15" w:type="dxa"/>
              <w:left w:w="225" w:type="dxa"/>
              <w:bottom w:w="15" w:type="dxa"/>
              <w:right w:w="15" w:type="dxa"/>
            </w:tcMar>
            <w:vAlign w:val="top"/>
          </w:tcPr>
          <w:p>
            <w:pPr>
              <w:keepNext w:val="true"/>
              <w:keepLines w:val="true"/>
            </w:pPr>
          </w:p>
        </w:tc>
        <w:tc>
          <w:tcPr>
            <w:tcW w:w="27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Book Value</w:t>
            </w:r>
          </w:p>
        </w:tc>
        <w:tc>
          <w:tcPr>
            <w:tcW w:w="272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Fair Value</w:t>
            </w:r>
          </w:p>
        </w:tc>
      </w:tr>
      <w:tr>
        <w:trPr>
          <w:cantSplit w:val="true"/>
        </w:trPr>
        <w:tc>
          <w:tcPr>
            <w:tcW w:w="475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 (15-year life)</w:t>
            </w:r>
          </w:p>
        </w:tc>
        <w:tc>
          <w:tcPr>
            <w:tcW w:w="272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$ 1,000,000</w:t>
            </w:r>
          </w:p>
        </w:tc>
        <w:tc>
          <w:tcPr>
            <w:tcW w:w="272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$ 1,500,000</w:t>
            </w:r>
          </w:p>
        </w:tc>
      </w:tr>
      <w:tr>
        <w:trPr>
          <w:cantSplit w:val="true"/>
        </w:trPr>
        <w:tc>
          <w:tcPr>
            <w:tcW w:w="475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 (5-year life)</w:t>
            </w:r>
          </w:p>
        </w:tc>
        <w:tc>
          <w:tcPr>
            <w:tcW w:w="272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2,500,000</w:t>
            </w:r>
          </w:p>
        </w:tc>
        <w:tc>
          <w:tcPr>
            <w:tcW w:w="272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3,000,000</w:t>
            </w:r>
          </w:p>
        </w:tc>
      </w:tr>
      <w:tr>
        <w:trPr>
          <w:cantSplit w:val="true"/>
        </w:trPr>
        <w:tc>
          <w:tcPr>
            <w:tcW w:w="475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Franchises (10-year life)</w:t>
            </w:r>
          </w:p>
        </w:tc>
        <w:tc>
          <w:tcPr>
            <w:tcW w:w="272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$ 0</w:t>
            </w:r>
          </w:p>
        </w:tc>
        <w:tc>
          <w:tcPr>
            <w:tcW w:w="2725"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$ 500,000</w:t>
            </w:r>
          </w:p>
        </w:tc>
      </w:tr>
    </w:tbl>
    <w:p>
      <w:pPr>
        <w:keepNext w:val="true"/>
        <w:keepLines w:val="true"/>
        <w:spacing w:after="0"/>
        <w:ind w:left="360"/>
        <w:jc w:val="left"/>
      </w:pPr>
      <w:r>
        <w:rPr>
          <w:rFonts w:ascii="Times New Roman"/>
          <w:b w:val="false"/>
          <w:i w:val="false"/>
          <w:color w:val="000000"/>
          <w:sz w:val="24"/>
        </w:rPr>
        <w:t>Any excess of cost over fair value was attributed to goodwill, which has not been impaired. Rob reported net income of $300,000 for 2024, and paid dividends of $100,000 during that year.</w:t>
      </w:r>
      <w:r>
        <w:rPr>
          <w:rFonts w:ascii="Times New Roman"/>
          <w:sz w:val="24"/>
        </w:rPr>
        <w:br/>
      </w:r>
      <w:r>
        <w:rPr>
          <w:rFonts w:ascii="Times New Roman"/>
          <w:b w:val="false"/>
          <w:i w:val="false"/>
          <w:color w:val="000000"/>
          <w:sz w:val="24"/>
        </w:rPr>
        <w:t>What is the amount of excess amortization expense for Jackie’s investment in Rob for year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Jackie Corporation purchased 30% of the voting common stock of Rob Company, paying $2,000,000. Jackie properly accounts for this investment using the equity method. At the time of the investment, Rob’s total stockholders’ equity was $3,000,000. Jackie gathered the following information about Rob’s assets and liabilities whose book values and fair values differed:</w:t>
      </w:r>
      <w:r>
        <w:rPr>
          <w:rFonts w:ascii="Times New Roman"/>
          <w:sz w:val="24"/>
        </w:rPr>
      </w:r>
    </w:p>
    <w:tbl>
      <w:tblPr>
        <w:jc w:val="left"/>
        <w:tblInd w:w="360" w:type="dxa"/>
        <w:tblLayout w:type="autofit"/>
      </w:tblPr>
      <w:tr>
        <w:trPr>
          <w:cantSplit w:val="true"/>
        </w:trPr>
        <w:tc>
          <w:tcPr>
            <w:tcW w:w="6164" w:type="dxa"/>
            <w:tcBorders/>
            <w:tcMar>
              <w:top w:w="15" w:type="dxa"/>
              <w:left w:w="15" w:type="dxa"/>
              <w:bottom w:w="15" w:type="dxa"/>
              <w:right w:w="15" w:type="dxa"/>
            </w:tcMar>
            <w:vAlign w:val="top"/>
          </w:tcPr>
          <w:p>
            <w:pPr>
              <w:keepNext w:val="true"/>
              <w:keepLines w:val="true"/>
            </w:pPr>
          </w:p>
        </w:tc>
        <w:tc>
          <w:tcPr>
            <w:tcW w:w="2618"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Book Value</w:t>
            </w:r>
          </w:p>
        </w:tc>
        <w:tc>
          <w:tcPr>
            <w:tcW w:w="2618"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Fair Value</w:t>
            </w:r>
          </w:p>
        </w:tc>
      </w:tr>
      <w:tr>
        <w:trPr>
          <w:cantSplit w:val="true"/>
        </w:trPr>
        <w:tc>
          <w:tcPr>
            <w:tcW w:w="616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Buildings (15-year life)</w:t>
            </w:r>
          </w:p>
        </w:tc>
        <w:tc>
          <w:tcPr>
            <w:tcW w:w="26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$ 1,000,000</w:t>
            </w:r>
          </w:p>
        </w:tc>
        <w:tc>
          <w:tcPr>
            <w:tcW w:w="26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$ 1,500,000</w:t>
            </w:r>
          </w:p>
        </w:tc>
      </w:tr>
      <w:tr>
        <w:trPr>
          <w:cantSplit w:val="true"/>
        </w:trPr>
        <w:tc>
          <w:tcPr>
            <w:tcW w:w="616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Equipment (5-year life)</w:t>
            </w:r>
          </w:p>
        </w:tc>
        <w:tc>
          <w:tcPr>
            <w:tcW w:w="26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2,500,000</w:t>
            </w:r>
          </w:p>
        </w:tc>
        <w:tc>
          <w:tcPr>
            <w:tcW w:w="26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3,000,000</w:t>
            </w:r>
          </w:p>
        </w:tc>
      </w:tr>
      <w:tr>
        <w:trPr>
          <w:cantSplit w:val="true"/>
        </w:trPr>
        <w:tc>
          <w:tcPr>
            <w:tcW w:w="616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Franchises (10-year life)</w:t>
            </w:r>
          </w:p>
        </w:tc>
        <w:tc>
          <w:tcPr>
            <w:tcW w:w="26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$ 0</w:t>
            </w:r>
          </w:p>
        </w:tc>
        <w:tc>
          <w:tcPr>
            <w:tcW w:w="261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$ 500,000</w:t>
            </w:r>
          </w:p>
        </w:tc>
      </w:tr>
    </w:tbl>
    <w:p>
      <w:pPr>
        <w:keepNext w:val="true"/>
        <w:keepLines w:val="true"/>
        <w:spacing w:after="0"/>
        <w:ind w:left="360"/>
        <w:jc w:val="left"/>
      </w:pPr>
      <w:r>
        <w:rPr>
          <w:rFonts w:ascii="Times New Roman"/>
          <w:b w:val="false"/>
          <w:i w:val="false"/>
          <w:color w:val="000000"/>
          <w:sz w:val="24"/>
        </w:rPr>
        <w:t>Any excess of cost over fair value was attributed to goodwill, which has not been impaired. Rob reported net income of $300,000 for 2024, and paid dividends of $100,000 during that year.</w:t>
      </w:r>
      <w:r>
        <w:rPr>
          <w:rFonts w:ascii="Times New Roman"/>
          <w:sz w:val="24"/>
        </w:rPr>
        <w:br/>
      </w:r>
      <w:r>
        <w:rPr>
          <w:rFonts w:ascii="Times New Roman"/>
          <w:b w:val="false"/>
          <w:i w:val="false"/>
          <w:color w:val="000000"/>
          <w:sz w:val="24"/>
        </w:rPr>
        <w:t>What is the balance in Jackie’s</w:t>
      </w:r>
      <w:r>
        <w:rPr>
          <w:rFonts w:ascii="Times New Roman"/>
          <w:b w:val="false"/>
          <w:i/>
          <w:color w:val="000000"/>
          <w:sz w:val="24"/>
        </w:rPr>
        <w:t xml:space="preserve"> Investment in Rob Company</w:t>
      </w:r>
      <w:r>
        <w:rPr>
          <w:rFonts w:ascii="Times New Roman"/>
          <w:b w:val="false"/>
          <w:i w:val="false"/>
          <w:color w:val="000000"/>
          <w:sz w:val="24"/>
        </w:rPr>
        <w:t xml:space="preserve"> account at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$2,060,000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$2,090,000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Acker Incorporated bought 40% of Howell Company on January 1, 2023, for $576,000. The equity method of accounting was used. The book value and fair value of the net assets of Howell on that date were $1,440,000. Acker began supplying inventory to Howell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Acker</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Howell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2023</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$ 55,000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$ 15,000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$ 110,000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$ 55,000</w:t>
            </w:r>
          </w:p>
        </w:tc>
      </w:tr>
    </w:tbl>
    <w:p>
      <w:pPr>
        <w:keepNext w:val="true"/>
        <w:keepLines w:val="true"/>
        <w:spacing w:after="0"/>
        <w:ind w:left="360"/>
        <w:jc w:val="left"/>
      </w:pPr>
      <w:r>
        <w:rPr>
          <w:rFonts w:ascii="Times New Roman"/>
          <w:b w:val="false"/>
          <w:i w:val="false"/>
          <w:color w:val="000000"/>
          <w:sz w:val="24"/>
        </w:rPr>
        <w:t>Howell reported net income of $100,000 in 2023 and $120,000 in 2024 while paying $40,000 in dividends each year.</w:t>
      </w:r>
      <w:r>
        <w:rPr>
          <w:rFonts w:ascii="Times New Roman"/>
          <w:sz w:val="24"/>
        </w:rPr>
        <w:br/>
      </w:r>
      <w:r>
        <w:rPr>
          <w:rFonts w:ascii="Times New Roman"/>
          <w:b w:val="false"/>
          <w:i w:val="false"/>
          <w:color w:val="000000"/>
          <w:sz w:val="24"/>
        </w:rPr>
        <w:t>What is Acker’s share of the intra-entity inventory gross profit that should be deferred on December 31, 2023?</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Acker Incorporated bought 40% of Howell Company on January 1, 2023, for $576,000. The equity method of accounting was used. The book value and fair value of the net assets of Howell on that date were $1,440,000. Acker began supplying inventory to Howell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Acker</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Howell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2023</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$ 55,000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$ 15,000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$ 110,000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$ 55,000</w:t>
            </w:r>
          </w:p>
        </w:tc>
      </w:tr>
    </w:tbl>
    <w:p>
      <w:pPr>
        <w:keepNext w:val="true"/>
        <w:keepLines w:val="true"/>
        <w:spacing w:after="0"/>
        <w:ind w:left="360"/>
        <w:jc w:val="left"/>
      </w:pPr>
      <w:r>
        <w:rPr>
          <w:rFonts w:ascii="Times New Roman"/>
          <w:b w:val="false"/>
          <w:i w:val="false"/>
          <w:color w:val="000000"/>
          <w:sz w:val="24"/>
        </w:rPr>
        <w:t>Howell reported net income of $100,000 in 2023 and $120,000 in 2024 while paying $40,000 in dividends each year.</w:t>
      </w:r>
      <w:r>
        <w:rPr>
          <w:rFonts w:ascii="Times New Roman"/>
          <w:sz w:val="24"/>
        </w:rPr>
        <w:br/>
      </w:r>
      <w:r>
        <w:rPr>
          <w:rFonts w:ascii="Times New Roman"/>
          <w:b w:val="false"/>
          <w:i w:val="false"/>
          <w:color w:val="000000"/>
          <w:sz w:val="24"/>
        </w:rPr>
        <w:t>What is Acker’s share of the intra-entity inventory gross profit that should be deferred on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Acker Incorporated bought 40% of Howell Company on January 1, 2023, for $576,000. The equity method of accounting was used. The book value and fair value of the net assets of Howell on that date were $1,440,000. Acker began supplying inventory to Howell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Acker</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Howell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2023</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$ 55,000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$ 15,000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$ 110,000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$ 55,000</w:t>
            </w:r>
          </w:p>
        </w:tc>
      </w:tr>
    </w:tbl>
    <w:p>
      <w:pPr>
        <w:keepNext w:val="true"/>
        <w:keepLines w:val="true"/>
        <w:spacing w:after="0"/>
        <w:ind w:left="360"/>
        <w:jc w:val="left"/>
      </w:pPr>
      <w:r>
        <w:rPr>
          <w:rFonts w:ascii="Times New Roman"/>
          <w:b w:val="false"/>
          <w:i w:val="false"/>
          <w:color w:val="000000"/>
          <w:sz w:val="24"/>
        </w:rPr>
        <w:t>Howell reported net income of $100,000 in 2023 and $120,000 in 2024 while paying $40,000 in dividends each year.</w:t>
      </w:r>
      <w:r>
        <w:rPr>
          <w:rFonts w:ascii="Times New Roman"/>
          <w:sz w:val="24"/>
        </w:rPr>
        <w:br/>
      </w:r>
      <w:r>
        <w:rPr>
          <w:rFonts w:ascii="Times New Roman"/>
          <w:b w:val="false"/>
          <w:i w:val="false"/>
          <w:color w:val="000000"/>
          <w:sz w:val="24"/>
        </w:rPr>
        <w:t>What is the Equity in Howell Income that should be reported by Acker in 2023?</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$38,400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Acker Incorporated bought 40% of Howell Company on January 1, 2023, for $576,000. The equity method of accounting was used. The book value and fair value of the net assets of Howell on that date were $1,440,000. Acker began supplying inventory to Howell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Acker</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Howell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2023</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$ 55,000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$ 15,000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$ 110,000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$ 55,000</w:t>
            </w:r>
          </w:p>
        </w:tc>
      </w:tr>
    </w:tbl>
    <w:p>
      <w:pPr>
        <w:keepNext w:val="true"/>
        <w:keepLines w:val="true"/>
        <w:spacing w:after="0"/>
        <w:ind w:left="360"/>
        <w:jc w:val="left"/>
      </w:pPr>
      <w:r>
        <w:rPr>
          <w:rFonts w:ascii="Times New Roman"/>
          <w:b w:val="false"/>
          <w:i w:val="false"/>
          <w:color w:val="000000"/>
          <w:sz w:val="24"/>
        </w:rPr>
        <w:t>Howell reported net income of $100,000 in 2023 and $120,000 in 2024 while paying $40,000 in dividends each year.</w:t>
      </w:r>
      <w:r>
        <w:rPr>
          <w:rFonts w:ascii="Times New Roman"/>
          <w:sz w:val="24"/>
        </w:rPr>
        <w:br/>
      </w:r>
      <w:r>
        <w:rPr>
          <w:rFonts w:ascii="Times New Roman"/>
          <w:b w:val="false"/>
          <w:i w:val="false"/>
          <w:color w:val="000000"/>
          <w:sz w:val="24"/>
        </w:rPr>
        <w:t xml:space="preserve"> What is the balance in Acker’s Investment in Howell account at December 31, 2023?</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$576,000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$598,400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$614,400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$616,000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Acker Incorporated bought 40% of Howell Company on January 1, 2023, for $576,000. The equity method of accounting was used. The book value and fair value of the net assets of Howell on that date were $1,440,000. Acker began supplying inventory to Howell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Acker</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Howell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2023</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$ 55,000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$ 15,000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$ 110,000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$ 55,000</w:t>
            </w:r>
          </w:p>
        </w:tc>
      </w:tr>
    </w:tbl>
    <w:p>
      <w:pPr>
        <w:keepNext w:val="true"/>
        <w:keepLines w:val="true"/>
        <w:spacing w:after="0"/>
        <w:ind w:left="360"/>
        <w:jc w:val="left"/>
      </w:pPr>
      <w:r>
        <w:rPr>
          <w:rFonts w:ascii="Times New Roman"/>
          <w:b w:val="false"/>
          <w:i w:val="false"/>
          <w:color w:val="000000"/>
          <w:sz w:val="24"/>
        </w:rPr>
        <w:t>Howell reported net income of $100,000 in 2023 and $120,000 in 2024 while paying $40,000 in dividends each year.</w:t>
      </w:r>
      <w:r>
        <w:rPr>
          <w:rFonts w:ascii="Times New Roman"/>
          <w:sz w:val="24"/>
        </w:rPr>
        <w:br/>
      </w:r>
      <w:r>
        <w:rPr>
          <w:rFonts w:ascii="Times New Roman"/>
          <w:b w:val="false"/>
          <w:i w:val="false"/>
          <w:color w:val="000000"/>
          <w:sz w:val="24"/>
        </w:rPr>
        <w:t>What is the Equity in Howell Income that should be reported by Acker in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$41,600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$49,600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$50,600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Acker Incorporated bought 40% of Howell Company on January 1, 2023, for $576,000. The equity method of accounting was used. The book value and fair value of the net assets of Howell on that date were $1,440,000. Acker began supplying inventory to Howell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Acker</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Howell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2023</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$ 55,000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$ 15,000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$ 70,000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$ 110,000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$ 55,000</w:t>
            </w:r>
          </w:p>
        </w:tc>
      </w:tr>
    </w:tbl>
    <w:p>
      <w:pPr>
        <w:keepNext w:val="true"/>
        <w:keepLines w:val="true"/>
        <w:spacing w:after="0"/>
        <w:ind w:left="360"/>
        <w:jc w:val="left"/>
      </w:pPr>
      <w:r>
        <w:rPr>
          <w:rFonts w:ascii="Times New Roman"/>
          <w:b w:val="false"/>
          <w:i w:val="false"/>
          <w:color w:val="000000"/>
          <w:sz w:val="24"/>
        </w:rPr>
        <w:t>Howell reported net income of $100,000 in 2023 and $120,000 in 2024 while paying $40,000 in dividends each year.</w:t>
      </w:r>
      <w:r>
        <w:rPr>
          <w:rFonts w:ascii="Times New Roman"/>
          <w:sz w:val="24"/>
        </w:rPr>
        <w:br/>
      </w:r>
      <w:r>
        <w:rPr>
          <w:rFonts w:ascii="Times New Roman"/>
          <w:b w:val="false"/>
          <w:i w:val="false"/>
          <w:color w:val="000000"/>
          <w:sz w:val="24"/>
        </w:rPr>
        <w:t>What is the balance in Acker’s Investment in Howell account at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$624,000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$636,000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$646,000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$656,000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$666,000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Cayman Incorporated bought 30% of Maya Company on January 1, 2024, for $450,000. The equity method of accounting was used. The book value and fair value of the net assets of Maya on that date were $1,500,000. Maya began supplying inventory to Cayman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Maya</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Cayman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$ 30,000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$ 9,000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2025</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$ 48,000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$ 80,000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$ 20,000</w:t>
            </w:r>
          </w:p>
        </w:tc>
      </w:tr>
    </w:tbl>
    <w:p>
      <w:pPr>
        <w:keepNext w:val="true"/>
        <w:keepLines w:val="true"/>
        <w:spacing w:after="0"/>
        <w:ind w:left="360"/>
        <w:jc w:val="left"/>
      </w:pPr>
      <w:r>
        <w:rPr>
          <w:rFonts w:ascii="Times New Roman"/>
          <w:b w:val="false"/>
          <w:i w:val="false"/>
          <w:color w:val="000000"/>
          <w:sz w:val="24"/>
        </w:rPr>
        <w:t>Maya reported net income of $100,000 in 2024 and $120,000 in 2025 while paying $40,000 in dividends each year.</w:t>
      </w:r>
      <w:r>
        <w:rPr>
          <w:rFonts w:ascii="Times New Roman"/>
          <w:sz w:val="24"/>
        </w:rPr>
        <w:br/>
      </w:r>
      <w:r>
        <w:rPr>
          <w:rFonts w:ascii="Times New Roman"/>
          <w:b w:val="false"/>
          <w:i w:val="false"/>
          <w:color w:val="000000"/>
          <w:sz w:val="24"/>
        </w:rPr>
        <w:t>What is the investor’s share of gross profit on intra-entity inventory sales that should be deferred on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$9,000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Cayman Incorporated bought 30% of Maya Company on January 1, 2024, for $450,000. The equity method of accounting was used. The book value and fair value of the net assets of Maya on that date were $1,500,000. Maya began supplying inventory to Cayman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Maya</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Cayman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$ 30,000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$ 9,000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2025</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$ 48,000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$ 80,000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$ 20,000</w:t>
            </w:r>
          </w:p>
        </w:tc>
      </w:tr>
    </w:tbl>
    <w:p>
      <w:pPr>
        <w:keepNext w:val="true"/>
        <w:keepLines w:val="true"/>
        <w:spacing w:after="0"/>
        <w:ind w:left="360"/>
        <w:jc w:val="left"/>
      </w:pPr>
      <w:r>
        <w:rPr>
          <w:rFonts w:ascii="Times New Roman"/>
          <w:b w:val="false"/>
          <w:i w:val="false"/>
          <w:color w:val="000000"/>
          <w:sz w:val="24"/>
        </w:rPr>
        <w:t>Maya reported net income of $100,000 in 2024 and $120,000 in 2025 while paying $40,000 in dividends each year.</w:t>
      </w:r>
      <w:r>
        <w:rPr>
          <w:rFonts w:ascii="Times New Roman"/>
          <w:sz w:val="24"/>
        </w:rPr>
        <w:br/>
      </w:r>
      <w:r>
        <w:rPr>
          <w:rFonts w:ascii="Times New Roman"/>
          <w:b w:val="false"/>
          <w:i w:val="false"/>
          <w:color w:val="000000"/>
          <w:sz w:val="24"/>
        </w:rPr>
        <w:t>What is the investor’s share of gross profit on intra-entity inventory sales that should be deferred on December 31, 2025?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$8,000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Cayman Incorporated bought 30% of Maya Company on January 1, 2024, for $450,000. The equity method of accounting was used. The book value and fair value of the net assets of Maya on that date were $1,500,000. Maya began supplying inventory to Cayman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Maya</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Cayman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$ 30,000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$ 9,000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2025</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$ 48,000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$ 80,000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$ 20,000</w:t>
            </w:r>
          </w:p>
        </w:tc>
      </w:tr>
    </w:tbl>
    <w:p>
      <w:pPr>
        <w:keepNext w:val="true"/>
        <w:keepLines w:val="true"/>
        <w:spacing w:after="0"/>
        <w:ind w:left="360"/>
        <w:jc w:val="left"/>
      </w:pPr>
      <w:r>
        <w:rPr>
          <w:rFonts w:ascii="Times New Roman"/>
          <w:b w:val="false"/>
          <w:i w:val="false"/>
          <w:color w:val="000000"/>
          <w:sz w:val="24"/>
        </w:rPr>
        <w:t>Maya reported net income of $100,000 in 2024 and $120,000 in 2025 while paying $40,000 in dividends each year.</w:t>
      </w:r>
      <w:r>
        <w:rPr>
          <w:rFonts w:ascii="Times New Roman"/>
          <w:sz w:val="24"/>
        </w:rPr>
        <w:br/>
      </w:r>
      <w:r>
        <w:rPr>
          <w:rFonts w:ascii="Times New Roman"/>
          <w:b w:val="false"/>
          <w:i w:val="false"/>
          <w:color w:val="000000"/>
          <w:sz w:val="24"/>
        </w:rPr>
        <w:t>What is the Equity in Maya Income that should be reported by Cayman in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$17,100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$25,500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$29,100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$30,900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Cayman Incorporated bought 30% of Maya Company on January 1, 2024, for $450,000. The equity method of accounting was used. The book value and fair value of the net assets of Maya on that date were $1,500,000. Maya began supplying inventory to Cayman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Maya</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Cayman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$ 30,000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$ 9,000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2025</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$ 48,000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$ 80,000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$ 20,000</w:t>
            </w:r>
          </w:p>
        </w:tc>
      </w:tr>
    </w:tbl>
    <w:p>
      <w:pPr>
        <w:keepNext w:val="true"/>
        <w:keepLines w:val="true"/>
        <w:spacing w:after="0"/>
        <w:ind w:left="360"/>
        <w:jc w:val="left"/>
      </w:pPr>
      <w:r>
        <w:rPr>
          <w:rFonts w:ascii="Times New Roman"/>
          <w:b w:val="false"/>
          <w:i w:val="false"/>
          <w:color w:val="000000"/>
          <w:sz w:val="24"/>
        </w:rPr>
        <w:t>Maya reported net income of $100,000 in 2024 and $120,000 in 2025 while paying $40,000 in dividends each year.</w:t>
      </w:r>
      <w:r>
        <w:rPr>
          <w:rFonts w:ascii="Times New Roman"/>
          <w:sz w:val="24"/>
        </w:rPr>
        <w:br/>
      </w:r>
      <w:r>
        <w:rPr>
          <w:rFonts w:ascii="Times New Roman"/>
          <w:b w:val="false"/>
          <w:i w:val="false"/>
          <w:color w:val="000000"/>
          <w:sz w:val="24"/>
        </w:rPr>
        <w:t>What is the balance in Cayman’s Investment in Maya account at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$463,500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$467,100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$468,000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$468,900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$480,000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Cayman Incorporated bought 30% of Maya Company on January 1, 2024, for $450,000. The equity method of accounting was used. The book value and fair value of the net assets of Maya on that date were $1,500,000. Maya began supplying inventory to Cayman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Maya</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Cayman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$ 30,000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$ 9,000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2025</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$ 48,000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$ 80,000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$ 20,000</w:t>
            </w:r>
          </w:p>
        </w:tc>
      </w:tr>
    </w:tbl>
    <w:p>
      <w:pPr>
        <w:keepNext w:val="true"/>
        <w:keepLines w:val="true"/>
        <w:spacing w:after="0"/>
        <w:ind w:left="360"/>
        <w:jc w:val="left"/>
      </w:pPr>
      <w:r>
        <w:rPr>
          <w:rFonts w:ascii="Times New Roman"/>
          <w:b w:val="false"/>
          <w:i w:val="false"/>
          <w:color w:val="000000"/>
          <w:sz w:val="24"/>
        </w:rPr>
        <w:t>Maya reported net income of $100,000 in 2024 and $120,000 in 2025 while paying $40,000 in dividends each year.</w:t>
      </w:r>
      <w:r>
        <w:rPr>
          <w:rFonts w:ascii="Times New Roman"/>
          <w:sz w:val="24"/>
        </w:rPr>
        <w:br/>
      </w:r>
      <w:r>
        <w:rPr>
          <w:rFonts w:ascii="Times New Roman"/>
          <w:b w:val="false"/>
          <w:i w:val="false"/>
          <w:color w:val="000000"/>
          <w:sz w:val="24"/>
        </w:rPr>
        <w:t>What is the Equity in Maya Income that should be reported by Cayman in 2025?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$34,200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$34,800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$34,500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$36,000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$37,800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Cayman Incorporated bought 30% of Maya Company on January 1, 2024, for $450,000. The equity method of accounting was used. The book value and fair value of the net assets of Maya on that date were $1,500,000. Maya began supplying inventory to Cayman as follows:</w:t>
      </w:r>
      <w:r>
        <w:rPr>
          <w:rFonts w:ascii="Times New Roman"/>
          <w:sz w:val="24"/>
        </w:rPr>
      </w:r>
    </w:p>
    <w:tbl>
      <w:tblPr>
        <w:jc w:val="left"/>
        <w:tblInd w:w="360" w:type="dxa"/>
        <w:tblLayout w:type="autofit"/>
      </w:tblPr>
      <w:tr>
        <w:trPr>
          <w:cantSplit w:val="true"/>
        </w:trPr>
        <w:tc>
          <w:tcPr>
            <w:tcW w:w="146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Year</w:t>
            </w:r>
          </w:p>
        </w:tc>
        <w:tc>
          <w:tcPr>
            <w:tcW w:w="27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Cost to Maya</w:t>
            </w:r>
          </w:p>
        </w:tc>
        <w:tc>
          <w:tcPr>
            <w:tcW w:w="288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Transfer Price</w:t>
            </w:r>
          </w:p>
        </w:tc>
        <w:tc>
          <w:tcPr>
            <w:tcW w:w="314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Amount Held by Cayman at Year-End</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2024</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$ 30,000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$ 45,000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$ 9,000</w:t>
            </w:r>
          </w:p>
        </w:tc>
      </w:tr>
      <w:tr>
        <w:trPr>
          <w:cantSplit w:val="true"/>
        </w:trPr>
        <w:tc>
          <w:tcPr>
            <w:tcW w:w="1460" w:type="dxa"/>
            <w:tcBorders/>
            <w:tcMar>
              <w:top w:w="15" w:type="dxa"/>
              <w:left w:w="225" w:type="dxa"/>
              <w:bottom w:w="15" w:type="dxa"/>
              <w:right w:w="375" w:type="dxa"/>
            </w:tcMar>
            <w:vAlign w:val="top"/>
          </w:tcPr>
          <w:p>
            <w:pPr>
              <w:keepNext w:val="true"/>
              <w:keepLines w:val="true"/>
              <w:spacing w:after="0"/>
              <w:ind w:left="0"/>
              <w:jc w:val="right"/>
            </w:pPr>
            <w:r>
              <w:rPr>
                <w:rFonts w:ascii="Courier New" w:hAnsi="Courier New"/>
                <w:b/>
                <w:i w:val="false"/>
                <w:color w:val="000000"/>
                <w:sz w:val="22"/>
              </w:rPr>
              <w:t>2025</w:t>
            </w:r>
          </w:p>
        </w:tc>
        <w:tc>
          <w:tcPr>
            <w:tcW w:w="270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$ 48,000</w:t>
            </w:r>
          </w:p>
        </w:tc>
        <w:tc>
          <w:tcPr>
            <w:tcW w:w="2880" w:type="dxa"/>
            <w:tcBorders/>
            <w:tcMar>
              <w:top w:w="15" w:type="dxa"/>
              <w:left w:w="15" w:type="dxa"/>
              <w:bottom w:w="15" w:type="dxa"/>
              <w:right w:w="600" w:type="dxa"/>
            </w:tcMar>
            <w:vAlign w:val="top"/>
          </w:tcPr>
          <w:p>
            <w:pPr>
              <w:keepNext w:val="true"/>
              <w:keepLines w:val="true"/>
              <w:spacing w:after="0"/>
              <w:ind w:left="0"/>
              <w:jc w:val="right"/>
            </w:pPr>
            <w:r>
              <w:rPr>
                <w:rFonts w:ascii="Courier New" w:hAnsi="Courier New"/>
                <w:b w:val="false"/>
                <w:i w:val="false"/>
                <w:color w:val="000000"/>
                <w:sz w:val="22"/>
              </w:rPr>
              <w:t>$ 80,000</w:t>
            </w:r>
          </w:p>
        </w:tc>
        <w:tc>
          <w:tcPr>
            <w:tcW w:w="3140" w:type="dxa"/>
            <w:tcBorders/>
            <w:tcMar>
              <w:top w:w="15" w:type="dxa"/>
              <w:left w:w="15" w:type="dxa"/>
              <w:bottom w:w="15" w:type="dxa"/>
              <w:right w:w="750" w:type="dxa"/>
            </w:tcMar>
            <w:vAlign w:val="top"/>
          </w:tcPr>
          <w:p>
            <w:pPr>
              <w:keepNext w:val="true"/>
              <w:keepLines w:val="true"/>
              <w:spacing w:after="0"/>
              <w:ind w:left="0"/>
              <w:jc w:val="right"/>
            </w:pPr>
            <w:r>
              <w:rPr>
                <w:rFonts w:ascii="Courier New" w:hAnsi="Courier New"/>
                <w:b w:val="false"/>
                <w:i w:val="false"/>
                <w:color w:val="000000"/>
                <w:sz w:val="22"/>
              </w:rPr>
              <w:t>$ 20,000</w:t>
            </w:r>
          </w:p>
        </w:tc>
      </w:tr>
    </w:tbl>
    <w:p>
      <w:pPr>
        <w:keepNext w:val="true"/>
        <w:keepLines w:val="true"/>
        <w:spacing w:after="0"/>
        <w:ind w:left="360"/>
        <w:jc w:val="left"/>
      </w:pPr>
      <w:r>
        <w:rPr>
          <w:rFonts w:ascii="Times New Roman"/>
          <w:b w:val="false"/>
          <w:i w:val="false"/>
          <w:color w:val="000000"/>
          <w:sz w:val="24"/>
        </w:rPr>
        <w:t>Maya reported net income of $100,000 in 2024 and $120,000 in 2025 while paying $40,000 in dividends each year.</w:t>
      </w:r>
      <w:r>
        <w:rPr>
          <w:rFonts w:ascii="Times New Roman"/>
          <w:sz w:val="24"/>
        </w:rPr>
        <w:br/>
      </w:r>
      <w:r>
        <w:rPr>
          <w:rFonts w:ascii="Times New Roman"/>
          <w:b w:val="false"/>
          <w:i w:val="false"/>
          <w:color w:val="000000"/>
          <w:sz w:val="24"/>
        </w:rPr>
        <w:t>What is the balance in Cayman’s Investment in Maya account at December 31, 2025?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$488,700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$489,600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$492,000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$494,400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$514,500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results in a decrease in the investment account when applying the equity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Dividends paid by the investor.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income of the investee.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income of the investor.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Share of gross profit on intra-entity inventory sales for the current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Purchase of additional common stock by the investor during the current year.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results in an increase in the investment account when applying the equity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Investor’s share of gross profit from intra-entity inventory sales for the prior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Investor’s share of gross profit from intra-entity inventory sales for the current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Dividends paid by the investor.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Dividends paid by the investee.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Sale of a portion of the investment during the current year.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results in a decrease in the Equity in Investee Income account when applying the equity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Dividends paid by the investor.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Net income of the investee.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Investor’s share of gross profit from intra-entity inventory sales for the current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Investor’s share of gross profit from intra-entity inventory sales for the prior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Other Comprehensive Income of the investee.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results in an increase in the Equity in Investee Income account when applying the equity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Amortizations of purchase price over book value on date of purchase.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Amortizations, since date of purchase, of purchase price over book value on date of purchase.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Sale of a portion of the investment at a gain to the investor.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Investor’s share of gross profit from intra-entity inventory sales for the prior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Sale of a portion of the investment at a loss.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Renfroe, Incorporated acquired 10% of Stanley Corporation on January 4, 2023, for $90,000 when the book value of Stanley was $1,000,000. During 2023, Stanley reported net income of $215,000 and paid dividends of $50,000. The book value of the 10% investment was the same as the fair value of that investment when, on January 1, 2024, Renfroe purchased an additional 30% of Stanley for $325,000. Any excess of cost over book value is attributable to goodwill with an indefinite life. During 2024, Renfroe reported net income of $320,000 and paid dividends of $50,000.</w:t>
      </w:r>
      <w:r>
        <w:rPr>
          <w:rFonts w:ascii="Times New Roman"/>
          <w:sz w:val="24"/>
        </w:rPr>
        <w:br/>
      </w:r>
      <w:r>
        <w:rPr>
          <w:rFonts w:ascii="Times New Roman"/>
          <w:b w:val="false"/>
          <w:i w:val="false"/>
          <w:color w:val="000000"/>
          <w:sz w:val="24"/>
        </w:rPr>
        <w:t>How much is the adjustment to the Investment in Stanley Corporation for the change from the fair-value method to the equity method on January 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debit of $16,500.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debit of $21,500.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debit of $90,000.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debit of $165,000.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There is no adjustment.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Renfroe, Incorporated acquired 10% of Stanley Corporation on January 4, 2023, for $90,000 when the book value of Stanley was $1,000,000. During 2023, Stanley reported net income of $215,000 and paid dividends of $50,000. The book value of the 10% investment was the same as the fair value of that investment when, on January 1, 2024, Renfroe purchased an additional 30% of Stanley for $325,000. Any excess of cost over book value is attributable to goodwill with an indefinite life. During 2024, Stanley reported net income of $320,000 and paid dividends of $50,000.</w:t>
      </w:r>
      <w:r>
        <w:rPr>
          <w:rFonts w:ascii="Times New Roman"/>
          <w:sz w:val="24"/>
        </w:rPr>
        <w:br/>
      </w:r>
      <w:r>
        <w:rPr>
          <w:rFonts w:ascii="Times New Roman"/>
          <w:b w:val="false"/>
          <w:i w:val="false"/>
          <w:color w:val="000000"/>
          <w:sz w:val="24"/>
        </w:rPr>
        <w:t>What is the balance in the Investment in Stanley Corporation on December 31, 2024?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$415,000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$512,500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$523,000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$539,500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$544,500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2023, Trycker, Incorporated acquired 40% of the outstanding common stock of Inkblot Company for $2,400,000. This investment gave Trycker the ability to exercise significant influence over Inkblot. Inkblot’s assets on that date were recorded at $8,000,000 with liabilities of $2,000,000. There were no other differences between book and fair values.</w:t>
      </w:r>
      <w:r>
        <w:rPr>
          <w:rFonts w:ascii="Times New Roman"/>
          <w:sz w:val="24"/>
        </w:rPr>
        <w:br/>
      </w:r>
      <w:r>
        <w:rPr>
          <w:rFonts w:ascii="Times New Roman"/>
          <w:b w:val="false"/>
          <w:i w:val="false"/>
          <w:color w:val="000000"/>
          <w:sz w:val="24"/>
        </w:rPr>
        <w:t>During 2023, Inkblot reported net income of $500,000 and paid dividends of $300,000. The fair value of Inkblot at December 31, 2023, is $7,000,000. Trycker elects the fair value option for its investment in Inkblot.</w:t>
      </w:r>
      <w:r>
        <w:rPr>
          <w:rFonts w:ascii="Times New Roman"/>
          <w:sz w:val="24"/>
        </w:rPr>
        <w:br/>
      </w:r>
      <w:r>
        <w:rPr>
          <w:rFonts w:ascii="Times New Roman"/>
          <w:b w:val="false"/>
          <w:i w:val="false"/>
          <w:color w:val="000000"/>
          <w:sz w:val="24"/>
        </w:rPr>
        <w:t>How are dividends received from Inkblot reflected in Trycker’s accounting records for 2023?</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Reduce investment in Inkblot by $280,000.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 Investment in Inkblot by $280,000.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Reduce Investment in Inkblot by $120,000.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 Investment in Inkblot by $120,000.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 Dividend Income by $120,000.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2023, Trycker, Incorporated acquired 40% of the outstanding common stock of Inkblot Company for $2,400,000. This investment gave Trycker the ability to exercise significant influence over Inkblot. Inkblot’s assets on that date were recorded at $8,000,000 with liabilities of $2,000,000. There were no other differences between book and fair values.</w:t>
      </w:r>
      <w:r>
        <w:rPr>
          <w:rFonts w:ascii="Times New Roman"/>
          <w:sz w:val="24"/>
        </w:rPr>
        <w:br/>
      </w:r>
      <w:r>
        <w:rPr>
          <w:rFonts w:ascii="Times New Roman"/>
          <w:b w:val="false"/>
          <w:i w:val="false"/>
          <w:color w:val="000000"/>
          <w:sz w:val="24"/>
        </w:rPr>
        <w:t>During 2023, Inkblot reported net income of $500,000 and paid dividends of $300,000. The fair value of Inkblot at December 31, 2023, is $7,000,000. Trycker elects the fair value option for its investment in Inkblot.</w:t>
      </w:r>
      <w:r>
        <w:rPr>
          <w:rFonts w:ascii="Times New Roman"/>
          <w:sz w:val="24"/>
        </w:rPr>
        <w:br/>
      </w:r>
      <w:r>
        <w:rPr>
          <w:rFonts w:ascii="Times New Roman"/>
          <w:b w:val="false"/>
          <w:i w:val="false"/>
          <w:color w:val="000000"/>
          <w:sz w:val="24"/>
        </w:rPr>
        <w:t>At what amount will Inkblot be reflected in Trycker’s December 31, 2023 balance sheet?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$2,280,000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$2,480,000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$2,800,000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$7,000,000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Franklin Company owns 40% of the voting common stock of Academic Services Incorporated. Franklin uses the equity method to account for its investment. On January 1, 2024, the balance in the investment account was $726,000. During 2024, Academic Services reported net income of $150,000 and paid dividends of $40,000. Any excess of fair value over book value is attributable to goodwill with an indefinite life.</w:t>
      </w:r>
      <w:r>
        <w:rPr>
          <w:rFonts w:ascii="Times New Roman"/>
          <w:sz w:val="24"/>
        </w:rPr>
        <w:br/>
      </w:r>
      <w:r>
        <w:rPr>
          <w:rFonts w:ascii="Times New Roman"/>
          <w:b w:val="false"/>
          <w:i w:val="false"/>
          <w:color w:val="000000"/>
          <w:sz w:val="24"/>
        </w:rPr>
        <w:t>What is the balance in the investment account as of December 31, 2024?</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Tinker Company owns 25% of the common stock of Harbor Company and uses the equity method to account for the investment. During 2024, Harbor reported income of $120,000 and paid dividends of $40,000. Harbor owns a building with a useful life of twenty years, which was undervalued by $80,000 at the time that Tinker bought its shares of Harbor’s common stock.</w:t>
      </w:r>
      <w:r>
        <w:rPr>
          <w:rFonts w:ascii="Times New Roman"/>
          <w:sz w:val="24"/>
        </w:rPr>
        <w:br/>
      </w:r>
      <w:r>
        <w:rPr>
          <w:rFonts w:ascii="Times New Roman"/>
          <w:b/>
          <w:i w:val="false"/>
          <w:color w:val="000000"/>
          <w:sz w:val="24"/>
        </w:rPr>
        <w:t>Required:</w:t>
      </w:r>
      <w:r>
        <w:rPr>
          <w:rFonts w:ascii="Times New Roman"/>
          <w:b w:val="false"/>
          <w:i w:val="false"/>
          <w:color w:val="000000"/>
          <w:sz w:val="24"/>
        </w:rPr>
        <w:t>Prepare a schedule to show the equity income Tinker should recognize for 2024 related to this investment.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Farah Corporation purchased 35% of the common stock of Dastan Company by paying $625,000. Of this amount, $45,000 is associated with goodwill.</w:t>
      </w:r>
      <w:r>
        <w:rPr>
          <w:rFonts w:ascii="Times New Roman"/>
          <w:sz w:val="24"/>
        </w:rPr>
        <w:br/>
      </w:r>
      <w:r>
        <w:rPr>
          <w:rFonts w:ascii="Times New Roman"/>
          <w:b/>
          <w:i w:val="false"/>
          <w:color w:val="000000"/>
          <w:sz w:val="24"/>
        </w:rPr>
        <w:t>Required:</w:t>
      </w:r>
      <w:r>
        <w:rPr>
          <w:rFonts w:ascii="Times New Roman"/>
          <w:b w:val="false"/>
          <w:i w:val="false"/>
          <w:color w:val="000000"/>
          <w:sz w:val="24"/>
        </w:rPr>
        <w:t>Prepare the journal entry to record Farah’s investment.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3, 2024, Heinreich Company paid $500,000 for 25% of the voting common stock of Jones Corporation. At the time of the investment, Jones had net assets with a book value and fair value of $1,800,000. During 2024, Jones incurred a net loss of $60,000 and paid dividends of $100,000. Any excess cost over book value is attributable to goodwill with an indefinite life.</w:t>
      </w:r>
      <w:r>
        <w:rPr>
          <w:rFonts w:ascii="Times New Roman"/>
          <w:sz w:val="24"/>
        </w:rPr>
        <w:br/>
      </w:r>
      <w:r>
        <w:rPr>
          <w:rFonts w:ascii="Times New Roman"/>
          <w:b/>
          <w:i w:val="false"/>
          <w:color w:val="000000"/>
          <w:sz w:val="24"/>
        </w:rPr>
        <w:t>Required:</w:t>
      </w:r>
      <w:r>
        <w:rPr>
          <w:rFonts w:ascii="Times New Roman"/>
          <w:b w:val="false"/>
          <w:i w:val="false"/>
          <w:color w:val="000000"/>
          <w:sz w:val="24"/>
        </w:rPr>
        <w:t>1) Prepare a schedule to show the amount of goodwill from Heinrich’s investment in Jones.</w:t>
      </w:r>
      <w:r>
        <w:rPr>
          <w:rFonts w:ascii="Times New Roman"/>
          <w:sz w:val="24"/>
        </w:rPr>
        <w:br/>
      </w:r>
      <w:r>
        <w:rPr>
          <w:rFonts w:ascii="Times New Roman"/>
          <w:b w:val="false"/>
          <w:i w:val="false"/>
          <w:color w:val="000000"/>
          <w:sz w:val="24"/>
        </w:rPr>
        <w:t>2) Prepare a schedule to show the balance in Heinreich’s investment account at December 31, 2024.</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2024, Colton Corporation acquired 30% of the outstanding common stock of Hicks Company for $1,300,000. This acquisition gave Colton the ability to exercise significant influence over the investee. The book value of the acquired shares was $1,175,000. Any excess cost over the underlying book value was assigned to a copyright that was undervalued on Hicks’s balance sheet. This copyright has a remaining useful life of ten years. For the year ended December 31, 2024, Hicks reported net income of $368,000 and paid cash dividends of $107,000.</w:t>
      </w:r>
      <w:r>
        <w:rPr>
          <w:rFonts w:ascii="Times New Roman"/>
          <w:sz w:val="24"/>
        </w:rPr>
        <w:br/>
      </w:r>
      <w:r>
        <w:rPr>
          <w:rFonts w:ascii="Times New Roman"/>
          <w:b/>
          <w:i w:val="false"/>
          <w:color w:val="000000"/>
          <w:sz w:val="24"/>
        </w:rPr>
        <w:t>Required:</w:t>
      </w:r>
      <w:r>
        <w:rPr>
          <w:rFonts w:ascii="Times New Roman"/>
          <w:b w:val="false"/>
          <w:i w:val="false"/>
          <w:color w:val="000000"/>
          <w:sz w:val="24"/>
        </w:rPr>
        <w:t>Prepare a schedule to show the balance Colton should report as its Investment in Hicks Company at December 31, 2024.</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1, 2024, Spark Corporation acquired a 40% interest in Cranston Incorporated for $250,000. On that date, Cranston’s balance sheet disclosed net assets of $430,000. During 2024, Cranston reported net income of $100,000 and paid cash dividends of $30,000. Spark sold inventory costing $40,000 to Cranston during 2024 for $50,000. Cranston used all of this merchandise in its operations during 2024. Any excess cost over fair value is attributable to an unamortized trademark with a 20-year remaining life.</w:t>
      </w:r>
      <w:r>
        <w:rPr>
          <w:rFonts w:ascii="Times New Roman"/>
          <w:sz w:val="24"/>
        </w:rPr>
        <w:br/>
      </w:r>
      <w:r>
        <w:rPr>
          <w:rFonts w:ascii="Times New Roman"/>
          <w:b/>
          <w:i w:val="false"/>
          <w:color w:val="000000"/>
          <w:sz w:val="24"/>
        </w:rPr>
        <w:t>Required:</w:t>
      </w:r>
      <w:r>
        <w:rPr>
          <w:rFonts w:ascii="Times New Roman"/>
          <w:b w:val="false"/>
          <w:i w:val="false"/>
          <w:color w:val="000000"/>
          <w:sz w:val="24"/>
        </w:rPr>
        <w:t>Prepare all of Spark’s journal entries for 2024 to apply the equity method to this investment.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Wathan Incorporated sold $180,000 in inventory to Miller Company during 2023, for $270,000. Miller resold $108,000 of this merchandise in 2023 with the remainder to be disposed of during 2024.</w:t>
      </w:r>
      <w:r>
        <w:rPr>
          <w:rFonts w:ascii="Times New Roman"/>
          <w:sz w:val="24"/>
        </w:rPr>
        <w:br/>
      </w:r>
      <w:r>
        <w:rPr>
          <w:rFonts w:ascii="Times New Roman"/>
          <w:b/>
          <w:i w:val="false"/>
          <w:color w:val="000000"/>
          <w:sz w:val="24"/>
        </w:rPr>
        <w:t>Required:</w:t>
      </w:r>
      <w:r>
        <w:rPr>
          <w:rFonts w:ascii="Times New Roman"/>
          <w:b w:val="false"/>
          <w:i w:val="false"/>
          <w:color w:val="000000"/>
          <w:sz w:val="24"/>
        </w:rPr>
        <w:t>Assuming Wathan owns 25% of Miller and applies the equity method, prepare the journal entry Wathan should have recorded at the end of 2023 to defer gross profit on intra-entity inventory sales.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Jager Incorporated holds 30% of the outstanding voting shares of Kinson Company and appropriately applies the equity method of accounting. Amortization associated with this investment equals $11,000 per year. For 2024, Kinson reported earnings of $100,000 and paid cash dividends of $40,000. During 2024, Kinson acquired inventory for $62,400, which was then sold to Jager for $96,000. At the end of 2024, Jager still held some of this inventory at its intra-entity selling price of $50,000.</w:t>
      </w:r>
      <w:r>
        <w:rPr>
          <w:rFonts w:ascii="Times New Roman"/>
          <w:sz w:val="24"/>
        </w:rPr>
        <w:br/>
      </w:r>
      <w:r>
        <w:rPr>
          <w:rFonts w:ascii="Times New Roman"/>
          <w:b/>
          <w:i w:val="false"/>
          <w:color w:val="000000"/>
          <w:sz w:val="24"/>
        </w:rPr>
        <w:t>Required:</w:t>
      </w:r>
      <w:r>
        <w:rPr>
          <w:rFonts w:ascii="Times New Roman"/>
          <w:b w:val="false"/>
          <w:i w:val="false"/>
          <w:color w:val="000000"/>
          <w:sz w:val="24"/>
        </w:rPr>
        <w:t>Determine the amount of Equity in Investee Income that Jager should have reported for 2024.</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2023, Hull Corporation paid $516,000 for 24% (48,000 shares) of the outstanding common stock of Oliver Company. Hull used the equity method to account for the investment. At the end of 2023, the balance in the investment account was $620,000. On January 3, 2024, Hull sold 12,000 shares of Oliver stock for $12 per share. For 2024, Oliver reported net income of $118,000 and paid dividends of $30,000.</w:t>
      </w:r>
      <w:r>
        <w:rPr>
          <w:rFonts w:ascii="Times New Roman"/>
          <w:sz w:val="24"/>
        </w:rPr>
        <w:br/>
      </w:r>
      <w:r>
        <w:rPr>
          <w:rFonts w:ascii="Times New Roman"/>
          <w:b/>
          <w:i w:val="false"/>
          <w:color w:val="000000"/>
          <w:sz w:val="24"/>
        </w:rPr>
        <w:t>Required:</w:t>
      </w:r>
      <w:r>
        <w:rPr>
          <w:rFonts w:ascii="Times New Roman"/>
          <w:sz w:val="24"/>
        </w:rPr>
      </w:r>
    </w:p>
    <w:p>
      <w:pPr>
        <w:pStyle w:val="ListParagraph"/>
        <w:keepNext w:val="true"/>
        <w:keepLines w:val="true"/>
        <w:numPr>
          <w:ilvl w:val="5"/>
          <w:numId w:val="2"/>
        </w:numPr>
        <w:spacing w:after="0"/>
        <w:jc w:val="left"/>
      </w:pPr>
      <w:r>
        <w:rPr>
          <w:rFonts w:ascii="Times New Roman"/>
          <w:sz w:val="24"/>
        </w:rPr>
        <w:t>Prepare the journal entry to record the sale of the 12,000 shares.</w:t>
      </w:r>
    </w:p>
    <w:p>
      <w:pPr>
        <w:pStyle w:val="ListParagraph"/>
        <w:keepNext w:val="true"/>
        <w:keepLines w:val="true"/>
        <w:numPr>
          <w:ilvl w:val="5"/>
          <w:numId w:val="2"/>
        </w:numPr>
        <w:spacing w:after="0"/>
        <w:jc w:val="left"/>
      </w:pPr>
      <w:r>
        <w:rPr>
          <w:rFonts w:ascii="Times New Roman"/>
          <w:sz w:val="24"/>
        </w:rPr>
        <w:t>After the sale has been recorded, what is the balance in the investment account?</w:t>
      </w:r>
    </w:p>
    <w:p>
      <w:pPr>
        <w:pStyle w:val="ListParagraph"/>
        <w:keepNext w:val="true"/>
        <w:keepLines w:val="true"/>
        <w:numPr>
          <w:ilvl w:val="5"/>
          <w:numId w:val="2"/>
        </w:numPr>
        <w:spacing w:after="0"/>
        <w:jc w:val="left"/>
      </w:pPr>
      <w:r>
        <w:rPr>
          <w:rFonts w:ascii="Times New Roman"/>
          <w:sz w:val="24"/>
        </w:rPr>
        <w:t>What percentage of Oliver stock does Hull own after selling the 12,000 shares?</w:t>
      </w:r>
    </w:p>
    <w:p>
      <w:pPr>
        <w:pStyle w:val="ListParagraph"/>
        <w:keepNext w:val="true"/>
        <w:keepLines w:val="true"/>
        <w:numPr>
          <w:ilvl w:val="5"/>
          <w:numId w:val="2"/>
        </w:numPr>
        <w:spacing w:after="0"/>
        <w:jc w:val="left"/>
      </w:pPr>
      <w:r>
        <w:rPr>
          <w:rFonts w:ascii="Times New Roman"/>
          <w:sz w:val="24"/>
        </w:rPr>
        <w:t>Because of the sale of stock, Hull can no longer exercise significant influence over the operations of Oliver. What effect will this have on Hull’s accounting for the investment?</w:t>
      </w:r>
    </w:p>
    <w:p>
      <w:pPr>
        <w:pStyle w:val="ListParagraph"/>
        <w:keepNext w:val="true"/>
        <w:keepLines w:val="true"/>
        <w:numPr>
          <w:ilvl w:val="5"/>
          <w:numId w:val="2"/>
        </w:numPr>
        <w:spacing w:after="0"/>
        <w:jc w:val="left"/>
      </w:pPr>
      <w:r>
        <w:rPr>
          <w:rFonts w:ascii="Times New Roman"/>
          <w:sz w:val="24"/>
        </w:rPr>
        <w:t>Prepare Hull’s journal entries related to the investment for the rest of 2024.</w:t>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2, 2024, Jolley Corporation paid $250,000 for 25% of the voting common stock of Wonder Company. On that date, the book value of Wonder was $850,000. A building with a carrying value of $160,000 was actually worth $220,000. The building had a remaining life of twenty years. Wonder owned a trademark valued at $90,000 over cost that was to be amortized over 20 years.</w:t>
      </w:r>
      <w:r>
        <w:rPr>
          <w:rFonts w:ascii="Times New Roman"/>
          <w:sz w:val="24"/>
        </w:rPr>
        <w:br/>
      </w:r>
      <w:r>
        <w:rPr>
          <w:rFonts w:ascii="Times New Roman"/>
          <w:b w:val="false"/>
          <w:i w:val="false"/>
          <w:color w:val="000000"/>
          <w:sz w:val="24"/>
        </w:rPr>
        <w:t>During 2024, Wonder sold to Jolley inventory costing $60,000, at a markup of 50% on cost. At the end of the year, Jolley still owned some of these goods with an intra-entity selling price of $33,000. Jolly uses a perpetual inventory system.</w:t>
      </w:r>
      <w:r>
        <w:rPr>
          <w:rFonts w:ascii="Times New Roman"/>
          <w:sz w:val="24"/>
        </w:rPr>
        <w:br/>
      </w:r>
      <w:r>
        <w:rPr>
          <w:rFonts w:ascii="Times New Roman"/>
          <w:b w:val="false"/>
          <w:i w:val="false"/>
          <w:color w:val="000000"/>
          <w:sz w:val="24"/>
        </w:rPr>
        <w:t>Wonder reported net income of $200,000 during 2024. This amount included a gain of $35,000. Wonder paid dividends totaling $40,000.</w:t>
      </w:r>
      <w:r>
        <w:rPr>
          <w:rFonts w:ascii="Times New Roman"/>
          <w:sz w:val="24"/>
        </w:rPr>
        <w:br/>
      </w:r>
      <w:r>
        <w:rPr>
          <w:rFonts w:ascii="Times New Roman"/>
          <w:b/>
          <w:i w:val="false"/>
          <w:color w:val="000000"/>
          <w:sz w:val="24"/>
        </w:rPr>
        <w:t>Required:</w:t>
      </w:r>
      <w:r>
        <w:rPr>
          <w:rFonts w:ascii="Times New Roman"/>
          <w:b w:val="false"/>
          <w:i w:val="false"/>
          <w:color w:val="000000"/>
          <w:sz w:val="24"/>
        </w:rPr>
        <w:t>Prepare all of Jolley’s journal entries for 2024 in relation to Wonder Company. Assume the equity method is appropriate for use.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2, 2023, Pond Company acquired 40% of the outstanding voting common shares of Ramp Company for $700,000. On that date, Ramp reported assets and liabilities with book values of $2.2 million and $700,000, respectively. A building owned by Ramp had an appraised value of $300,000, although it had a book value of only $120,000. This building had a 12-year remaining life and no salvage value. It was being depreciated on the straight-line basis.</w:t>
      </w:r>
      <w:r>
        <w:rPr>
          <w:rFonts w:ascii="Times New Roman"/>
          <w:sz w:val="24"/>
        </w:rPr>
        <w:br/>
      </w:r>
      <w:r>
        <w:rPr>
          <w:rFonts w:ascii="Times New Roman"/>
          <w:b w:val="false"/>
          <w:i w:val="false"/>
          <w:color w:val="000000"/>
          <w:sz w:val="24"/>
        </w:rPr>
        <w:t>Ramp generated net income of $300,000 in 2023 and a loss of $120,000 in 2024. In each of these two years, Ramp paid a cash dividend of $70,000 to its stockholders.</w:t>
      </w:r>
      <w:r>
        <w:rPr>
          <w:rFonts w:ascii="Times New Roman"/>
          <w:sz w:val="24"/>
        </w:rPr>
        <w:br/>
      </w:r>
      <w:r>
        <w:rPr>
          <w:rFonts w:ascii="Times New Roman"/>
          <w:b w:val="false"/>
          <w:i w:val="false"/>
          <w:color w:val="000000"/>
          <w:sz w:val="24"/>
        </w:rPr>
        <w:t>During 2023, Ramp sold inventory to Pond that had an original cost of $60,000. The merchandise was sold to Pond for $96,000. Of this balance, $72,000 was resold to outsiders during 2023 and the remainder was sold during 2024. In 2024, Ramp sold inventory to Pond for $180,000. This inventory had cost only $108,000. Pond resold $120,000 of the inventory during 2024 and the rest during 2025.</w:t>
      </w:r>
      <w:r>
        <w:rPr>
          <w:rFonts w:ascii="Times New Roman"/>
          <w:sz w:val="24"/>
        </w:rPr>
        <w:br/>
      </w:r>
      <w:r>
        <w:rPr>
          <w:rFonts w:ascii="Times New Roman"/>
          <w:b/>
          <w:i w:val="false"/>
          <w:color w:val="000000"/>
          <w:sz w:val="24"/>
        </w:rPr>
        <w:t>Required:</w:t>
      </w:r>
      <w:r>
        <w:rPr>
          <w:rFonts w:ascii="Times New Roman"/>
          <w:b w:val="false"/>
          <w:i w:val="false"/>
          <w:color w:val="000000"/>
          <w:sz w:val="24"/>
        </w:rPr>
        <w:t>For 2023 and then for 2024, calculate the equity income to be reported by Pond for external reporting purposes.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Pursley, Incorporated acquires 10% of Ritz Corporation on January 2, 2023, for $80,000 when the book value of Ritz was $800,000. Pursley adjusted the investment to its fair value of $162,500 at December 31, 2023. During 2023, Ritz reported net income of $125,000 and paid dividends of $30,000. On January 7, 2024, Pursley purchased an additional 20% of Ritz for $325,000, giving Pursley the ability to significantly influence the operating policies of Ritz. Any excess of cost over book value is attributable to goodwill with an indefinite life. What journal entry(ies) is(are) required on January 7, 2024?</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Steven Company owns 40% of the outstanding voting common stock of Nicholas Corporation and has the ability to significantly influence the investee’s operations. On January 4, 2024, the balance in the </w:t>
      </w:r>
      <w:r>
        <w:rPr>
          <w:rFonts w:ascii="Times New Roman"/>
          <w:b w:val="false"/>
          <w:i/>
          <w:color w:val="000000"/>
          <w:sz w:val="24"/>
        </w:rPr>
        <w:t>Investment in Nicholas Corporation</w:t>
      </w:r>
      <w:r>
        <w:rPr>
          <w:rFonts w:ascii="Times New Roman"/>
          <w:b w:val="false"/>
          <w:i w:val="false"/>
          <w:color w:val="000000"/>
          <w:sz w:val="24"/>
        </w:rPr>
        <w:t xml:space="preserve"> account was $503,000. Amortization associated with this acquisition is $12,000 per year. During 2024, Nicholas earned net income of $120,000 and paid cash dividends of $40,000. Previously in 2023, Nicholas had sold inventory costing $35,000 to Steven for $50,000. All but 25% of that inventory had been sold to outsiders by Steven during 2023; the remainder was sold in 2024. Additional sales were made to Steven in 2024 at an intra-entity selling price of $75,000. The goods in the intra-entity sales cost Nicholas $54,000. Only 10% of the 2024 intra-entity purchases from Nicholas had not been sold to outsiders by the end of 2024.</w:t>
      </w:r>
      <w:r>
        <w:rPr>
          <w:rFonts w:ascii="Times New Roman"/>
          <w:sz w:val="24"/>
        </w:rPr>
        <w:br/>
      </w:r>
      <w:r>
        <w:rPr>
          <w:rFonts w:ascii="Times New Roman"/>
          <w:b w:val="false"/>
          <w:i w:val="false"/>
          <w:color w:val="000000"/>
          <w:sz w:val="24"/>
        </w:rPr>
        <w:t>What amount of gross profit on 2023 intra-entity sales should Steven defer at December 31, 2023?</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Steven Company owns 40% of the outstanding voting common stock of Nicholas Corporation and has the ability to significantly influence the investee’s operations. On January 4, 2024, the balance in the </w:t>
      </w:r>
      <w:r>
        <w:rPr>
          <w:rFonts w:ascii="Times New Roman"/>
          <w:b w:val="false"/>
          <w:i/>
          <w:color w:val="000000"/>
          <w:sz w:val="24"/>
        </w:rPr>
        <w:t>Investment in Nicholas Corporation</w:t>
      </w:r>
      <w:r>
        <w:rPr>
          <w:rFonts w:ascii="Times New Roman"/>
          <w:b w:val="false"/>
          <w:i w:val="false"/>
          <w:color w:val="000000"/>
          <w:sz w:val="24"/>
        </w:rPr>
        <w:t xml:space="preserve"> account was $503,000. Amortization associated with this acquisition is $12,000 per year. During 2024, Nicholas earned net income of $120,000 and paid cash dividends of $40,000. Previously in 2023, Nicholas had sold inventory costing $35,000 to Steven for $50,000. All but 25% of that inventory had been sold to outsiders by Steven during 2023; the remainder was sold in 2024. Additional sales were made to Steven in 2024 at an intra-entity selling price of $75,000. The goods in the intra-entity sales cost Nicholas $54,000. Only 10% of the 2024 intra-entity purchases from Nicholas had not been sold to outsiders by the end of 2024.</w:t>
      </w:r>
      <w:r>
        <w:rPr>
          <w:rFonts w:ascii="Times New Roman"/>
          <w:sz w:val="24"/>
        </w:rPr>
        <w:br/>
      </w:r>
      <w:r>
        <w:rPr>
          <w:rFonts w:ascii="Times New Roman"/>
          <w:b w:val="false"/>
          <w:i w:val="false"/>
          <w:color w:val="000000"/>
          <w:sz w:val="24"/>
        </w:rPr>
        <w:t>What amount of gross profit on 2024 intra-entity sales should Steven defer at December 31, 2024?</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Steven Company owns 40% of the outstanding voting common stock of Nicholas Corporation and has the ability to significantly influence the investee’s operations. On January 4, 2024, the balance in the </w:t>
      </w:r>
      <w:r>
        <w:rPr>
          <w:rFonts w:ascii="Times New Roman"/>
          <w:b w:val="false"/>
          <w:i/>
          <w:color w:val="000000"/>
          <w:sz w:val="24"/>
        </w:rPr>
        <w:t>Investment in Nicholas Corporation</w:t>
      </w:r>
      <w:r>
        <w:rPr>
          <w:rFonts w:ascii="Times New Roman"/>
          <w:b w:val="false"/>
          <w:i w:val="false"/>
          <w:color w:val="000000"/>
          <w:sz w:val="24"/>
        </w:rPr>
        <w:t xml:space="preserve"> account was $503,000. Amortization associated with this acquisition is $12,000 per year. During 2024, Nicholas earned net income of $120,000 and paid cash dividends of $40,000. Previously in 2023, Nicholas had sold inventory costing $35,000 to Steven for $50,000. All but 25% of that inventory had been sold to outsiders by Steven during 2023; the remainder was sold in 2024. Additional sales were made to Steven in 2024 at an intra-entity selling price of $75,000. The goods in the intra-entity sales cost Nicholas $54,000. Only 10% of the 2024 intra-entity purchases from Nicholas had not been sold to outsiders by the end of 2024.</w:t>
      </w:r>
      <w:r>
        <w:rPr>
          <w:rFonts w:ascii="Times New Roman"/>
          <w:sz w:val="24"/>
        </w:rPr>
        <w:br/>
      </w:r>
      <w:r>
        <w:rPr>
          <w:rFonts w:ascii="Times New Roman"/>
          <w:b w:val="false"/>
          <w:i w:val="false"/>
          <w:color w:val="000000"/>
          <w:sz w:val="24"/>
        </w:rPr>
        <w:t>What amount of equity income would Steven have recognized in 2024 from its ownership interest in Nicholas?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Steven Company owns 40% of the outstanding voting common stock of Nicholas Corporation and has the ability to significantly influence the investee’s operations. On January 4, 2024, the balance in the </w:t>
      </w:r>
      <w:r>
        <w:rPr>
          <w:rFonts w:ascii="Times New Roman"/>
          <w:b w:val="false"/>
          <w:i/>
          <w:color w:val="000000"/>
          <w:sz w:val="24"/>
        </w:rPr>
        <w:t>Investment in Nicholas Corporation</w:t>
      </w:r>
      <w:r>
        <w:rPr>
          <w:rFonts w:ascii="Times New Roman"/>
          <w:b w:val="false"/>
          <w:i w:val="false"/>
          <w:color w:val="000000"/>
          <w:sz w:val="24"/>
        </w:rPr>
        <w:t xml:space="preserve"> account was $503,000. Amortization associated with this acquisition is $12,000 per year. During 2024, Nicholas earned net income of $120,000 and paid cash dividends of $40,000. Previously in 2023, Nicholas had sold inventory costing $35,000 to Steven for $50,000. All but 25% of that inventory had been sold to outsiders by Steven during 2023; the remainder was sold in 2024. Additional sales were made to Steven in 2024 at an intra-entity selling price of $75,000. The goods in the intra-entity sales cost Nicholas $54,000. Only 10% of the 2024 intra-entity purchases from Nicholas had not been sold to outsiders by the end of 2024.</w:t>
      </w:r>
      <w:r>
        <w:rPr>
          <w:rFonts w:ascii="Times New Roman"/>
          <w:sz w:val="24"/>
        </w:rPr>
        <w:br/>
      </w:r>
      <w:r>
        <w:rPr>
          <w:rFonts w:ascii="Times New Roman"/>
          <w:b w:val="false"/>
          <w:i w:val="false"/>
          <w:color w:val="000000"/>
          <w:sz w:val="24"/>
        </w:rPr>
        <w:t xml:space="preserve">What was the balance in the </w:t>
      </w:r>
      <w:r>
        <w:rPr>
          <w:rFonts w:ascii="Times New Roman"/>
          <w:b w:val="false"/>
          <w:i/>
          <w:color w:val="000000"/>
          <w:sz w:val="24"/>
        </w:rPr>
        <w:t>Investment in Nicholas Corporation</w:t>
      </w:r>
      <w:r>
        <w:rPr>
          <w:rFonts w:ascii="Times New Roman"/>
          <w:b w:val="false"/>
          <w:i w:val="false"/>
          <w:color w:val="000000"/>
          <w:sz w:val="24"/>
        </w:rPr>
        <w:t xml:space="preserve"> account at December 31, 2024?</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2023, Nelson Corporation purchased 35% of the outstanding voting common stock of Christopher Company for $560,000. This purchase gave Nelson the ability to exercise significant influence over the operating and financial policies of Christopher. On the date of purchase, Christopher’s books reported assets of $2,000,000 and liabilities of $600,000. Any excess of cost over book value of Nelson’s investment was attributed to a patent with a remaining useful life of seven years. During 2023, Christopher reported net income of $250,000 and declared and paid cash dividends of $55,000. In the following year, 2024, Christopher reported net income of $300,000 and declared and paid cash dividends of $70,000.</w:t>
      </w:r>
      <w:r>
        <w:rPr>
          <w:rFonts w:ascii="Times New Roman"/>
          <w:sz w:val="24"/>
        </w:rPr>
        <w:br/>
      </w:r>
      <w:r>
        <w:rPr>
          <w:rFonts w:ascii="Times New Roman"/>
          <w:b w:val="false"/>
          <w:i w:val="false"/>
          <w:color w:val="000000"/>
          <w:sz w:val="24"/>
        </w:rPr>
        <w:t>In 2023, Nelson sold inventory costing $60,000 to Christopher for $80,000. Christopher sold 75% of that inventory to outsiders during 2023 with the remainder being sold in 2024. During 2024, Nelson sold inventory costing $70,000 to Christopher for $100,000. Christopher sold 80% of that inventory to outsiders during 2024.</w:t>
      </w:r>
      <w:r>
        <w:rPr>
          <w:rFonts w:ascii="Times New Roman"/>
          <w:sz w:val="24"/>
        </w:rPr>
        <w:br/>
      </w:r>
      <w:r>
        <w:rPr>
          <w:rFonts w:ascii="Times New Roman"/>
          <w:b w:val="false"/>
          <w:i w:val="false"/>
          <w:color w:val="000000"/>
          <w:sz w:val="24"/>
        </w:rPr>
        <w:t>What amount of gross profit on 2023 intra-entity sales should Nelson defer at December 31, 2023?</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2023, Nelson Corporation purchased 35% of the outstanding voting common stock of Christopher Company for $560,000. This purchase gave Nelson the ability to exercise significant influence over the operating and financial policies of Christopher. On the date of purchase, Christopher’s books reported assets of $2,000,000 and liabilities of $600,000. Any excess of cost over book value of Nelson’s investment was attributed to a patent with a remaining useful life of seven years. During 2023, Christopher reported net income of $250,000 and declared and paid cash dividends of $55,000. In the following year, 2024, Christopher reported net income of $300,000 and declared and paid cash dividends of $70,000.</w:t>
      </w:r>
      <w:r>
        <w:rPr>
          <w:rFonts w:ascii="Times New Roman"/>
          <w:sz w:val="24"/>
        </w:rPr>
        <w:br/>
      </w:r>
      <w:r>
        <w:rPr>
          <w:rFonts w:ascii="Times New Roman"/>
          <w:b w:val="false"/>
          <w:i w:val="false"/>
          <w:color w:val="000000"/>
          <w:sz w:val="24"/>
        </w:rPr>
        <w:t>In 2023, Nelson sold inventory costing $60,000 to Christopher for $80,000. Christopher sold 75% of that inventory to outsiders during 2023 with the remainder being sold in 2024. During 2024, Nelson sold inventory costing $70,000 to Christopher for $100,000. Christopher sold 80% of that inventory to outsiders during 2024.</w:t>
      </w:r>
      <w:r>
        <w:rPr>
          <w:rFonts w:ascii="Times New Roman"/>
          <w:sz w:val="24"/>
        </w:rPr>
        <w:br/>
      </w:r>
      <w:r>
        <w:rPr>
          <w:rFonts w:ascii="Times New Roman"/>
          <w:b w:val="false"/>
          <w:i w:val="false"/>
          <w:color w:val="000000"/>
          <w:sz w:val="24"/>
        </w:rPr>
        <w:t>What amount of gross profit on 2024 intra-entity sales should Nelson defer at December 31, 2024?</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2023, Nelson Corporation purchased 35% of the outstanding voting common stock of Christopher Company for $560,000. This purchase gave Nelson the ability to exercise significant influence over the operating and financial policies of Christopher. On the date of purchase, Christopher’s books reported assets of $2,000,000 and liabilities of $600,000. Any excess of cost over book value of Nelson’s investment was attributed to a patent with a remaining useful life of ten years. During 2023, Christopher reported net income of $250,000 and declared and paid cash dividends of $55,000. In the following year, 2024, Christopher reported net income of $300,000 and declared and paid cash dividends of $70,000.</w:t>
      </w:r>
      <w:r>
        <w:rPr>
          <w:rFonts w:ascii="Times New Roman"/>
          <w:sz w:val="24"/>
        </w:rPr>
        <w:br/>
      </w:r>
      <w:r>
        <w:rPr>
          <w:rFonts w:ascii="Times New Roman"/>
          <w:b w:val="false"/>
          <w:i w:val="false"/>
          <w:color w:val="000000"/>
          <w:sz w:val="24"/>
        </w:rPr>
        <w:t>In 2023, Nelson sold inventory costing $60,000 to Christopher for $80,000. Christopher sold 75% of that inventory to outsiders during 2023 with the remainder being sold in 2024. During 2024, Nelson sold inventory costing $70,000 to Christopher for $100,000. Christopher sold 80% of that inventory to outsiders during 2024.</w:t>
      </w:r>
      <w:r>
        <w:rPr>
          <w:rFonts w:ascii="Times New Roman"/>
          <w:sz w:val="24"/>
        </w:rPr>
        <w:br/>
      </w:r>
      <w:r>
        <w:rPr>
          <w:rFonts w:ascii="Times New Roman"/>
          <w:b w:val="false"/>
          <w:i w:val="false"/>
          <w:color w:val="000000"/>
          <w:sz w:val="24"/>
        </w:rPr>
        <w:t>Prepare all of Nelson’s journal entries for 2023 to apply the equity method.</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January 4, 2023, Nelson Corporation purchased 35% of the outstanding voting common stock of Christopher Company for $560,000. This purchase gave Nelson the ability to exercise significant influence over the operating and financial policies of Christopher. On the date of purchase, Christopher’s books reported assets of $2,000,000 and liabilities of $600,000. Any excess of cost over book value of Nelson’s investment was attributed to a patent with a remaining useful life of ten years. During 2023, Christopher reported net income of $250,000 and declared and paid cash dividends of $55,000. In the following year, 2024, Christopher reported net income of $300,000 and declared and paid cash dividends of $10,000.</w:t>
      </w:r>
      <w:r>
        <w:rPr>
          <w:rFonts w:ascii="Times New Roman"/>
          <w:sz w:val="24"/>
        </w:rPr>
        <w:br/>
      </w:r>
      <w:r>
        <w:rPr>
          <w:rFonts w:ascii="Times New Roman"/>
          <w:b w:val="false"/>
          <w:i w:val="false"/>
          <w:color w:val="000000"/>
          <w:sz w:val="24"/>
        </w:rPr>
        <w:t>In 2023, Nelson sold inventory costing $60,000 to Christopher for $80,000. Christopher sold 75% of that inventory to outsiders during 2023 with the remainder being sold in 2024. During 2024, Nelson sold inventory costing $90,000 to Christopher for $120,000. Christopher sold 80% of that inventory to outsiders during 2024.</w:t>
      </w:r>
      <w:r>
        <w:rPr>
          <w:rFonts w:ascii="Times New Roman"/>
          <w:sz w:val="24"/>
        </w:rPr>
        <w:br/>
      </w:r>
      <w:r>
        <w:rPr>
          <w:rFonts w:ascii="Times New Roman"/>
          <w:b w:val="false"/>
          <w:i w:val="false"/>
          <w:color w:val="000000"/>
          <w:sz w:val="24"/>
        </w:rPr>
        <w:t>Prepare all of Nelson’s journal entries for 2024 to apply the equity method.</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How does the equity method of accounting for investments under International Accounting Standard (IAS) 28 differ from those prescribed by the FASB ASC?</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For each of the following numbered situations below, select the best letter answer concerning accounting for investments:</w:t>
      </w:r>
      <w:r>
        <w:rPr>
          <w:rFonts w:ascii="Times New Roman"/>
          <w:sz w:val="24"/>
        </w:rPr>
        <w:br/>
      </w:r>
      <w:r>
        <w:rPr>
          <w:rFonts w:ascii="Times New Roman"/>
          <w:b w:val="false"/>
          <w:i w:val="false"/>
          <w:color w:val="000000"/>
          <w:sz w:val="24"/>
        </w:rPr>
        <w:t>(A) Increase the investment account.</w:t>
      </w:r>
      <w:r>
        <w:rPr>
          <w:rFonts w:ascii="Times New Roman"/>
          <w:sz w:val="24"/>
        </w:rPr>
        <w:br/>
      </w:r>
      <w:r>
        <w:rPr>
          <w:rFonts w:ascii="Times New Roman"/>
          <w:b w:val="false"/>
          <w:i w:val="false"/>
          <w:color w:val="000000"/>
          <w:sz w:val="24"/>
        </w:rPr>
        <w:t>(B) Decrease the investment account.</w:t>
      </w:r>
      <w:r>
        <w:rPr>
          <w:rFonts w:ascii="Times New Roman"/>
          <w:sz w:val="24"/>
        </w:rPr>
        <w:br/>
      </w:r>
      <w:r>
        <w:rPr>
          <w:rFonts w:ascii="Times New Roman"/>
          <w:b w:val="false"/>
          <w:i w:val="false"/>
          <w:color w:val="000000"/>
          <w:sz w:val="24"/>
        </w:rPr>
        <w:t>(C) Increase dividend revenue.</w:t>
      </w:r>
      <w:r>
        <w:rPr>
          <w:rFonts w:ascii="Times New Roman"/>
          <w:sz w:val="24"/>
        </w:rPr>
        <w:br/>
      </w:r>
      <w:r>
        <w:rPr>
          <w:rFonts w:ascii="Times New Roman"/>
          <w:b w:val="false"/>
          <w:i w:val="false"/>
          <w:color w:val="000000"/>
          <w:sz w:val="24"/>
        </w:rPr>
        <w:t>(D) No adjustment necessary.</w:t>
      </w:r>
      <w:r>
        <w:rPr>
          <w:rFonts w:ascii="Times New Roman"/>
          <w:sz w:val="24"/>
        </w:rPr>
        <w:br/>
      </w:r>
      <w:r>
        <w:rPr>
          <w:rFonts w:ascii="Times New Roman"/>
          <w:b w:val="false"/>
          <w:i w:val="false"/>
          <w:color w:val="000000"/>
          <w:sz w:val="24"/>
        </w:rPr>
        <w:t>(1.) Income reported by 40% owned investee.</w:t>
      </w:r>
      <w:r>
        <w:rPr>
          <w:rFonts w:ascii="Times New Roman"/>
          <w:sz w:val="24"/>
        </w:rPr>
        <w:br/>
      </w:r>
      <w:r>
        <w:rPr>
          <w:rFonts w:ascii="Times New Roman"/>
          <w:b w:val="false"/>
          <w:i w:val="false"/>
          <w:color w:val="000000"/>
          <w:sz w:val="24"/>
        </w:rPr>
        <w:t>(2.) Income reported by 10% owned investee.</w:t>
      </w:r>
      <w:r>
        <w:rPr>
          <w:rFonts w:ascii="Times New Roman"/>
          <w:sz w:val="24"/>
        </w:rPr>
        <w:br/>
      </w:r>
      <w:r>
        <w:rPr>
          <w:rFonts w:ascii="Times New Roman"/>
          <w:b w:val="false"/>
          <w:i w:val="false"/>
          <w:color w:val="000000"/>
          <w:sz w:val="24"/>
        </w:rPr>
        <w:t>(3.) Loss reported by 40% owned investee.</w:t>
      </w:r>
      <w:r>
        <w:rPr>
          <w:rFonts w:ascii="Times New Roman"/>
          <w:sz w:val="24"/>
        </w:rPr>
        <w:br/>
      </w:r>
      <w:r>
        <w:rPr>
          <w:rFonts w:ascii="Times New Roman"/>
          <w:b w:val="false"/>
          <w:i w:val="false"/>
          <w:color w:val="000000"/>
          <w:sz w:val="24"/>
        </w:rPr>
        <w:t>(4.) Loss reported by 10% investee.</w:t>
      </w:r>
      <w:r>
        <w:rPr>
          <w:rFonts w:ascii="Times New Roman"/>
          <w:sz w:val="24"/>
        </w:rPr>
        <w:br/>
      </w:r>
      <w:r>
        <w:rPr>
          <w:rFonts w:ascii="Times New Roman"/>
          <w:b w:val="false"/>
          <w:i w:val="false"/>
          <w:color w:val="000000"/>
          <w:sz w:val="24"/>
        </w:rPr>
        <w:t>(5.) Change from fair-value method to equity method. Prior income exceeded dividends.</w:t>
      </w:r>
      <w:r>
        <w:rPr>
          <w:rFonts w:ascii="Times New Roman"/>
          <w:sz w:val="24"/>
        </w:rPr>
        <w:br/>
      </w:r>
      <w:r>
        <w:rPr>
          <w:rFonts w:ascii="Times New Roman"/>
          <w:b w:val="false"/>
          <w:i w:val="false"/>
          <w:color w:val="000000"/>
          <w:sz w:val="24"/>
        </w:rPr>
        <w:t>(6.) Change from fair-value method to equity method. Prior income was less than dividends.</w:t>
      </w:r>
      <w:r>
        <w:rPr>
          <w:rFonts w:ascii="Times New Roman"/>
          <w:sz w:val="24"/>
        </w:rPr>
        <w:br/>
      </w:r>
      <w:r>
        <w:rPr>
          <w:rFonts w:ascii="Times New Roman"/>
          <w:b w:val="false"/>
          <w:i w:val="false"/>
          <w:color w:val="000000"/>
          <w:sz w:val="24"/>
        </w:rPr>
        <w:t>(7.) Change from equity method to fair-value method. Prior income exceeded dividends.</w:t>
      </w:r>
      <w:r>
        <w:rPr>
          <w:rFonts w:ascii="Times New Roman"/>
          <w:sz w:val="24"/>
        </w:rPr>
        <w:br/>
      </w:r>
      <w:r>
        <w:rPr>
          <w:rFonts w:ascii="Times New Roman"/>
          <w:b w:val="false"/>
          <w:i w:val="false"/>
          <w:color w:val="000000"/>
          <w:sz w:val="24"/>
        </w:rPr>
        <w:t>(8.) Change from equity method to fair-value method. Prior income was less than dividends.</w:t>
      </w:r>
      <w:r>
        <w:rPr>
          <w:rFonts w:ascii="Times New Roman"/>
          <w:sz w:val="24"/>
        </w:rPr>
        <w:br/>
      </w:r>
      <w:r>
        <w:rPr>
          <w:rFonts w:ascii="Times New Roman"/>
          <w:b w:val="false"/>
          <w:i w:val="false"/>
          <w:color w:val="000000"/>
          <w:sz w:val="24"/>
        </w:rPr>
        <w:t>(9.) Dividends received from 40% investee.</w:t>
      </w:r>
      <w:r>
        <w:rPr>
          <w:rFonts w:ascii="Times New Roman"/>
          <w:sz w:val="24"/>
        </w:rPr>
        <w:br/>
      </w:r>
      <w:r>
        <w:rPr>
          <w:rFonts w:ascii="Times New Roman"/>
          <w:b w:val="false"/>
          <w:i w:val="false"/>
          <w:color w:val="000000"/>
          <w:sz w:val="24"/>
        </w:rPr>
        <w:t>(10.) Dividends received from 10% investee.</w:t>
      </w:r>
      <w:r>
        <w:rPr>
          <w:rFonts w:ascii="Times New Roman"/>
          <w:sz w:val="24"/>
        </w:rPr>
        <w:br/>
      </w:r>
      <w:r>
        <w:rPr>
          <w:rFonts w:ascii="Times New Roman"/>
          <w:b w:val="false"/>
          <w:i w:val="false"/>
          <w:color w:val="000000"/>
          <w:sz w:val="24"/>
        </w:rPr>
        <w:t>(11.) Purchase of additional shares of investee.</w:t>
      </w:r>
      <w:r>
        <w:rPr>
          <w:rFonts w:ascii="Times New Roman"/>
          <w:sz w:val="24"/>
        </w:rPr>
        <w:br/>
      </w:r>
      <w:r>
        <w:rPr>
          <w:rFonts w:ascii="Times New Roman"/>
          <w:b w:val="false"/>
          <w:i w:val="false"/>
          <w:color w:val="000000"/>
          <w:sz w:val="24"/>
        </w:rPr>
        <w:t>(12.) Investor’s share of gross profit from intra-entity inventory sales when using the equity method.</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Jarmon Company owns twenty-three percent (23%) of the voting common stock of Kaleski Corporation. Jarmon does not have the ability to exercise significant influence over the operations of Kaleski. What method should Jarmon use to account for its investment in Kaleski?</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Idler Company has an investment in Cowl Corporation for which it uses the equity method. Cowl has suffered large losses for several years, and the balance in the investment account has been reduced to zero. How should Idler account for this investment?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types of transactions, exchanges, or events would indicate that an investor has the ability to exercise significant influence over the operations of an investee?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auditing a company that owns twenty percent of the voting common stock of another corporation and uses the equity method to account for the investment. How would you verify that the equity method is appropriate in this case?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How does the use of the equity method affect the investor’s financial statements?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is the primary objective of the equity method of accounting for an investment?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is the justification for the timing of recognition of income under the equity method?</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argument could be made against the equity method?</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How would a change be made from the equity method to the fair value method of accounting for investments?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How should an investor account for, and report, an investee’s other comprehensive income (or loss)?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should an investor not use the equity method for an investment of 21% in another corporation?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is the primary objective of the fair value method of accounting for an investment?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How would a change be made from the fair value method to the equity method of accounting for investments?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the fair value option is elected for application to an investment in which the investor has significant influence over the investee, how would the investor reflect the use of the fair value option in its balance sheet and in its income statement?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keepNext w:val="true"/>
        <w:keepLines w:val="true"/>
        <w:spacing w:after="0"/>
        <w:jc w:val="left"/>
      </w:pPr>
      <w:r>
        <w:rPr>
          <w:rFonts w:ascii="Times New Roman"/>
          <w:b/>
          <w:sz w:val="36"/>
        </w:rPr>
        <w:br w:type="page"/>
        <w:t>Answer Key</w:t>
        <w:br/>
      </w:r>
      <w:r>
        <w:rPr>
          <w:rFonts w:ascii="Times New Roman"/>
          <w:sz w:val="32"/>
        </w:rPr>
        <w:t>Test name: Hoyle9eFAACh01</w:t>
        <w:br/>
      </w: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$70,000 × 0.15 = $10,500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$260,000 × 0.35 = $91,000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w:t>
      </w:r>
    </w:p>
    <w:p>
      <w:pPr>
        <w:keepNext w:val="true"/>
        <w:keepLines w:val="true"/>
        <w:spacing w:after="0"/>
        <w:jc w:val="left"/>
      </w:pPr>
      <w:r>
        <w:rPr>
          <w:rFonts w:ascii="Times New Roman"/>
          <w:b w:val="false"/>
          <w:i w:val="false"/>
          <w:color w:val="000000"/>
          <w:sz w:val="24"/>
        </w:rPr>
        <w:t>$1,870,000 + ($720,000 × 0.45) − ($2.00 × 80,000) = $2,034,000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$7,200,000 − $3,400,000 = $3,800,000 × 30% = $1,140,000</w:t>
      </w:r>
      <w:r>
        <w:rPr>
          <w:rFonts w:ascii="Times New Roman"/>
          <w:sz w:val="24"/>
        </w:rPr>
        <w:br/>
      </w:r>
      <w:r>
        <w:rPr>
          <w:rFonts w:ascii="Times New Roman"/>
          <w:b w:val="false"/>
          <w:i w:val="false"/>
          <w:color w:val="000000"/>
          <w:sz w:val="24"/>
        </w:rPr>
        <w:t>$1,600,000 − $1,140,000 = $460,000 ÷ 10years = $46,000 Unrecorded Patents Amortization</w:t>
      </w:r>
      <w:r>
        <w:rPr>
          <w:rFonts w:ascii="Times New Roman"/>
          <w:sz w:val="24"/>
        </w:rPr>
        <w:br/>
      </w:r>
      <w:r>
        <w:rPr>
          <w:rFonts w:ascii="Times New Roman"/>
          <w:b w:val="false"/>
          <w:i w:val="false"/>
          <w:color w:val="000000"/>
          <w:sz w:val="24"/>
        </w:rPr>
        <w:t>$1,600,000 + $195,000 − $75,000 − $46,000 + $240,000 − $75,000 − $46,000 = $1,793,000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$1,000,000 − $42,000 − $7,200 = $950,800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$130,000 − $71,500 = $58,500</w:t>
      </w:r>
      <w:r>
        <w:rPr>
          <w:rFonts w:ascii="Times New Roman"/>
          <w:sz w:val="24"/>
        </w:rPr>
        <w:br/>
      </w:r>
      <w:r>
        <w:rPr>
          <w:rFonts w:ascii="Times New Roman"/>
          <w:b w:val="false"/>
          <w:i w:val="false"/>
          <w:color w:val="000000"/>
          <w:sz w:val="24"/>
        </w:rPr>
        <w:t>$58,500 ÷ $130,000 = 45% × $30,000 = $13,500 × 30% = $4,050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$900,000 + $96,000 − $30,000 = $966,000 − (5,000 ÷ 40,000 × $966,000) = $845,250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Buildings $600,000 − $400,000 = $200,000 Fair Value &gt; Book Value</w:t>
      </w:r>
      <w:r>
        <w:rPr>
          <w:rFonts w:ascii="Times New Roman"/>
          <w:sz w:val="24"/>
        </w:rPr>
        <w:br/>
      </w:r>
      <w:r>
        <w:rPr>
          <w:rFonts w:ascii="Times New Roman"/>
          <w:b w:val="false"/>
          <w:i w:val="false"/>
          <w:color w:val="000000"/>
          <w:sz w:val="24"/>
        </w:rPr>
        <w:t>Equipment $1,400,000 − $1,200,000 = $200,000 Fair Value &gt; Book Value</w:t>
      </w:r>
      <w:r>
        <w:rPr>
          <w:rFonts w:ascii="Times New Roman"/>
          <w:sz w:val="24"/>
        </w:rPr>
        <w:br/>
      </w:r>
      <w:r>
        <w:rPr>
          <w:rFonts w:ascii="Times New Roman"/>
          <w:b w:val="false"/>
          <w:i w:val="false"/>
          <w:color w:val="000000"/>
          <w:sz w:val="24"/>
        </w:rPr>
        <w:t>Franchises $480,000 − 0 = $480,000 Fair Value &gt; Book Value</w:t>
      </w:r>
      <w:r>
        <w:rPr>
          <w:rFonts w:ascii="Times New Roman"/>
          <w:sz w:val="24"/>
        </w:rPr>
        <w:br/>
      </w:r>
      <w:r>
        <w:rPr>
          <w:rFonts w:ascii="Times New Roman"/>
          <w:b w:val="false"/>
          <w:i w:val="false"/>
          <w:color w:val="000000"/>
          <w:sz w:val="24"/>
        </w:rPr>
        <w:t>$200,000 + $200,000 + $480,000 = $880,000 × 30% = $264,000 Identifiable Excess Paid</w:t>
      </w:r>
      <w:r>
        <w:rPr>
          <w:rFonts w:ascii="Times New Roman"/>
          <w:sz w:val="24"/>
        </w:rPr>
        <w:br/>
      </w:r>
      <w:r>
        <w:rPr>
          <w:rFonts w:ascii="Times New Roman"/>
          <w:b w:val="false"/>
          <w:i w:val="false"/>
          <w:color w:val="000000"/>
          <w:sz w:val="24"/>
        </w:rPr>
        <w:t>$8,000,000 × 30% = $2,400,000 Book Value</w:t>
      </w:r>
      <w:r>
        <w:rPr>
          <w:rFonts w:ascii="Times New Roman"/>
          <w:sz w:val="24"/>
        </w:rPr>
        <w:br/>
      </w:r>
      <w:r>
        <w:rPr>
          <w:rFonts w:ascii="Times New Roman"/>
          <w:b w:val="false"/>
          <w:i w:val="false"/>
          <w:color w:val="000000"/>
          <w:sz w:val="24"/>
        </w:rPr>
        <w:t>($3,000,000 Paid) − ($2,400,000 Book Value) = ($600,000 Fair Value &gt; Book Value) − ($264,000 Identifiable Excess Paid) = $336,000 Unidentifiable Excess Paid (Goodwill)</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$600,000 − $400,000 = $200,000 ÷ 10 years = $20,000</w:t>
      </w:r>
      <w:r>
        <w:rPr>
          <w:rFonts w:ascii="Times New Roman"/>
          <w:sz w:val="24"/>
        </w:rPr>
        <w:br/>
      </w:r>
      <w:r>
        <w:rPr>
          <w:rFonts w:ascii="Times New Roman"/>
          <w:b w:val="false"/>
          <w:i w:val="false"/>
          <w:color w:val="000000"/>
          <w:sz w:val="24"/>
        </w:rPr>
        <w:t>$1,400,000 − $1,200,000 = $200,000 ÷ 5 years = $40,000</w:t>
      </w:r>
      <w:r>
        <w:rPr>
          <w:rFonts w:ascii="Times New Roman"/>
          <w:sz w:val="24"/>
        </w:rPr>
        <w:br/>
      </w:r>
      <w:r>
        <w:rPr>
          <w:rFonts w:ascii="Times New Roman"/>
          <w:b w:val="false"/>
          <w:i w:val="false"/>
          <w:color w:val="000000"/>
          <w:sz w:val="24"/>
        </w:rPr>
        <w:t>$480,000 − 0 = $480,000 ÷ 8 years = $60,000</w:t>
      </w:r>
      <w:r>
        <w:rPr>
          <w:rFonts w:ascii="Times New Roman"/>
          <w:sz w:val="24"/>
        </w:rPr>
        <w:br/>
      </w:r>
      <w:r>
        <w:rPr>
          <w:rFonts w:ascii="Times New Roman"/>
          <w:b w:val="false"/>
          <w:i w:val="false"/>
          <w:color w:val="000000"/>
          <w:sz w:val="24"/>
        </w:rPr>
        <w:t>$20,000 + $40,000 + $60,000 = $120,000 × 30% = $36,000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2024 Income $108,000 × 30% = $32,400</w:t>
      </w:r>
      <w:r>
        <w:rPr>
          <w:rFonts w:ascii="Times New Roman"/>
          <w:sz w:val="24"/>
        </w:rPr>
        <w:br/>
      </w:r>
      <w:r>
        <w:rPr>
          <w:rFonts w:ascii="Times New Roman"/>
          <w:b w:val="false"/>
          <w:i w:val="false"/>
          <w:color w:val="000000"/>
          <w:sz w:val="24"/>
        </w:rPr>
        <w:t>2023 Inventory Profit Recognized $48,000 − $28,800 = $19,200 × 25% = $4,800 × 30% = $1,440</w:t>
      </w:r>
      <w:r>
        <w:rPr>
          <w:rFonts w:ascii="Times New Roman"/>
          <w:sz w:val="24"/>
        </w:rPr>
        <w:br/>
      </w:r>
      <w:r>
        <w:rPr>
          <w:rFonts w:ascii="Times New Roman"/>
          <w:b w:val="false"/>
          <w:i w:val="false"/>
          <w:color w:val="000000"/>
          <w:sz w:val="24"/>
        </w:rPr>
        <w:t>2024 Inventory Profit Deferred $60,000 − $33,600 = $26,400 × 40% = $10,560 × 30% = $3,168</w:t>
      </w:r>
      <w:r>
        <w:rPr>
          <w:rFonts w:ascii="Times New Roman"/>
          <w:sz w:val="24"/>
        </w:rPr>
        <w:br/>
      </w:r>
      <w:r>
        <w:rPr>
          <w:rFonts w:ascii="Times New Roman"/>
          <w:b w:val="false"/>
          <w:i w:val="false"/>
          <w:color w:val="000000"/>
          <w:sz w:val="24"/>
        </w:rPr>
        <w:t>2024 Purchase Amortization $8,000</w:t>
      </w:r>
      <w:r>
        <w:rPr>
          <w:rFonts w:ascii="Times New Roman"/>
          <w:sz w:val="24"/>
        </w:rPr>
        <w:br/>
      </w:r>
      <w:r>
        <w:rPr>
          <w:rFonts w:ascii="Times New Roman"/>
          <w:b w:val="false"/>
          <w:i w:val="false"/>
          <w:color w:val="000000"/>
          <w:sz w:val="24"/>
        </w:rPr>
        <w:t>$32,400 + $1,440 − $3,168 − $8,000 = $22,672 Equity Income 2024</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2024 Beginning Balance = $402,000</w:t>
      </w:r>
      <w:r>
        <w:rPr>
          <w:rFonts w:ascii="Times New Roman"/>
          <w:sz w:val="24"/>
        </w:rPr>
        <w:br/>
      </w:r>
      <w:r>
        <w:rPr>
          <w:rFonts w:ascii="Times New Roman"/>
          <w:b w:val="false"/>
          <w:i w:val="false"/>
          <w:color w:val="000000"/>
          <w:sz w:val="24"/>
        </w:rPr>
        <w:t>2024 Income Recognized = $22,672</w:t>
      </w:r>
      <w:r>
        <w:rPr>
          <w:rFonts w:ascii="Times New Roman"/>
          <w:sz w:val="24"/>
        </w:rPr>
        <w:br/>
      </w:r>
      <w:r>
        <w:rPr>
          <w:rFonts w:ascii="Times New Roman"/>
          <w:b w:val="false"/>
          <w:i w:val="false"/>
          <w:color w:val="000000"/>
          <w:sz w:val="24"/>
        </w:rPr>
        <w:t>2024 Income $108,000 × 30% = $32,400</w:t>
      </w:r>
      <w:r>
        <w:rPr>
          <w:rFonts w:ascii="Times New Roman"/>
          <w:sz w:val="24"/>
        </w:rPr>
        <w:br/>
      </w:r>
      <w:r>
        <w:rPr>
          <w:rFonts w:ascii="Times New Roman"/>
          <w:b w:val="false"/>
          <w:i w:val="false"/>
          <w:color w:val="000000"/>
          <w:sz w:val="24"/>
        </w:rPr>
        <w:t>2023 Inventory Profit Recognized $48,000 − $28,800 = $19,200 × 25% = $4,800 × 30% = $1,440</w:t>
      </w:r>
      <w:r>
        <w:rPr>
          <w:rFonts w:ascii="Times New Roman"/>
          <w:sz w:val="24"/>
        </w:rPr>
        <w:br/>
      </w:r>
      <w:r>
        <w:rPr>
          <w:rFonts w:ascii="Times New Roman"/>
          <w:b w:val="false"/>
          <w:i w:val="false"/>
          <w:color w:val="000000"/>
          <w:sz w:val="24"/>
        </w:rPr>
        <w:t>2024 Inventory Profit Deferred $60,000 − $33,600 = $26,400 × 40% = $10,560 × 30% = $3,168</w:t>
      </w:r>
      <w:r>
        <w:rPr>
          <w:rFonts w:ascii="Times New Roman"/>
          <w:sz w:val="24"/>
        </w:rPr>
        <w:br/>
      </w:r>
      <w:r>
        <w:rPr>
          <w:rFonts w:ascii="Times New Roman"/>
          <w:b w:val="false"/>
          <w:i w:val="false"/>
          <w:color w:val="000000"/>
          <w:sz w:val="24"/>
        </w:rPr>
        <w:t>2024 Purchase Amortization $8,000</w:t>
      </w:r>
      <w:r>
        <w:rPr>
          <w:rFonts w:ascii="Times New Roman"/>
          <w:sz w:val="24"/>
        </w:rPr>
        <w:br/>
      </w:r>
      <w:r>
        <w:rPr>
          <w:rFonts w:ascii="Times New Roman"/>
          <w:b w:val="false"/>
          <w:i w:val="false"/>
          <w:color w:val="000000"/>
          <w:sz w:val="24"/>
        </w:rPr>
        <w:t>$32,400 + $1,440 − $3,168 − $8,000 = $22,672 Equity Income 2024</w:t>
      </w:r>
      <w:r>
        <w:rPr>
          <w:rFonts w:ascii="Times New Roman"/>
          <w:sz w:val="24"/>
        </w:rPr>
        <w:br/>
      </w:r>
      <w:r>
        <w:rPr>
          <w:rFonts w:ascii="Times New Roman"/>
          <w:b w:val="false"/>
          <w:i w:val="false"/>
          <w:color w:val="000000"/>
          <w:sz w:val="24"/>
        </w:rPr>
        <w:t>2024 Dividend Received = ($36,000 × 30%) = $10,800</w:t>
      </w:r>
      <w:r>
        <w:rPr>
          <w:rFonts w:ascii="Times New Roman"/>
          <w:sz w:val="24"/>
        </w:rPr>
        <w:br/>
      </w:r>
      <w:r>
        <w:rPr>
          <w:rFonts w:ascii="Times New Roman"/>
          <w:b w:val="false"/>
          <w:i w:val="false"/>
          <w:color w:val="000000"/>
          <w:sz w:val="24"/>
        </w:rPr>
        <w:t>2024 Ending Balance = ($402,000 + $22,672 − $10,800) = $413,872</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2024 Purchase = $62,400. The investment was increased to fair value of $80,000 at 12/31/24.</w:t>
      </w:r>
      <w:r>
        <w:rPr>
          <w:rFonts w:ascii="Times New Roman"/>
          <w:sz w:val="24"/>
        </w:rPr>
        <w:br/>
      </w:r>
      <w:r>
        <w:rPr>
          <w:rFonts w:ascii="Times New Roman"/>
          <w:b w:val="false"/>
          <w:i w:val="false"/>
          <w:color w:val="000000"/>
          <w:sz w:val="24"/>
        </w:rPr>
        <w:t>2025 Income = ($120,000 × 25%) = $30,000</w:t>
      </w:r>
      <w:r>
        <w:rPr>
          <w:rFonts w:ascii="Times New Roman"/>
          <w:sz w:val="24"/>
        </w:rPr>
        <w:br/>
      </w:r>
      <w:r>
        <w:rPr>
          <w:rFonts w:ascii="Times New Roman"/>
          <w:b w:val="false"/>
          <w:i w:val="false"/>
          <w:color w:val="000000"/>
          <w:sz w:val="24"/>
        </w:rPr>
        <w:t>2025 Dividend = ($48,000 × 25%) = $12,000</w:t>
      </w:r>
      <w:r>
        <w:rPr>
          <w:rFonts w:ascii="Times New Roman"/>
          <w:sz w:val="24"/>
        </w:rPr>
        <w:br/>
      </w:r>
      <w:r>
        <w:rPr>
          <w:rFonts w:ascii="Times New Roman"/>
          <w:b w:val="false"/>
          <w:i w:val="false"/>
          <w:color w:val="000000"/>
          <w:sz w:val="24"/>
        </w:rPr>
        <w:t>Ending 2025 Balance = ($80,000 + $54,000 + $30,000 − $12,000) = $152,000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2025 Income = ($120,000 × 25%) = $30,000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Book value purchased = ($550,000 − $300,000) = $250,000 × 30% = $75,000</w:t>
      </w:r>
      <w:r>
        <w:rPr>
          <w:rFonts w:ascii="Times New Roman"/>
          <w:sz w:val="24"/>
        </w:rPr>
        <w:br/>
      </w:r>
      <w:r>
        <w:rPr>
          <w:rFonts w:ascii="Times New Roman"/>
          <w:b w:val="false"/>
          <w:i w:val="false"/>
          <w:color w:val="000000"/>
          <w:sz w:val="24"/>
        </w:rPr>
        <w:t>Excess: $100,000 − $75,000 = $25,000</w:t>
      </w:r>
      <w:r>
        <w:rPr>
          <w:rFonts w:ascii="Times New Roman"/>
          <w:sz w:val="24"/>
        </w:rPr>
        <w:br/>
      </w:r>
      <w:r>
        <w:rPr>
          <w:rFonts w:ascii="Times New Roman"/>
          <w:b w:val="false"/>
          <w:i w:val="false"/>
          <w:color w:val="000000"/>
          <w:sz w:val="24"/>
        </w:rPr>
        <w:t>Allocated to patent: $30,000 × 30% = $9,000</w:t>
      </w:r>
      <w:r>
        <w:rPr>
          <w:rFonts w:ascii="Times New Roman"/>
          <w:sz w:val="24"/>
        </w:rPr>
        <w:br/>
      </w:r>
      <w:r>
        <w:rPr>
          <w:rFonts w:ascii="Times New Roman"/>
          <w:b w:val="false"/>
          <w:i w:val="false"/>
          <w:color w:val="000000"/>
          <w:sz w:val="24"/>
        </w:rPr>
        <w:t>Remainder to goodwill: $25,000 − $9,000 = $16,000.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2023 Equity Income = ($50,000 × 30%) = $15,000</w:t>
      </w:r>
      <w:r>
        <w:rPr>
          <w:rFonts w:ascii="Times New Roman"/>
          <w:sz w:val="24"/>
        </w:rPr>
        <w:br/>
      </w:r>
      <w:r>
        <w:rPr>
          <w:rFonts w:ascii="Times New Roman"/>
          <w:b w:val="false"/>
          <w:i w:val="false"/>
          <w:color w:val="000000"/>
          <w:sz w:val="24"/>
        </w:rPr>
        <w:t>2023 Excess Patent Amortization = ($30,000 ÷ 6 = $5,000) × 30%) = $1,500</w:t>
      </w:r>
      <w:r>
        <w:rPr>
          <w:rFonts w:ascii="Times New Roman"/>
          <w:sz w:val="24"/>
        </w:rPr>
        <w:br/>
      </w:r>
      <w:r>
        <w:rPr>
          <w:rFonts w:ascii="Times New Roman"/>
          <w:b w:val="false"/>
          <w:i w:val="false"/>
          <w:color w:val="000000"/>
          <w:sz w:val="24"/>
        </w:rPr>
        <w:t>$15,000 − $1,500 = $13,500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2024 Equity Income = ($75,000 × 30%) = $22,500</w:t>
      </w:r>
      <w:r>
        <w:rPr>
          <w:rFonts w:ascii="Times New Roman"/>
          <w:sz w:val="24"/>
        </w:rPr>
        <w:br/>
      </w:r>
      <w:r>
        <w:rPr>
          <w:rFonts w:ascii="Times New Roman"/>
          <w:b w:val="false"/>
          <w:i w:val="false"/>
          <w:color w:val="000000"/>
          <w:sz w:val="24"/>
        </w:rPr>
        <w:t>2024 Excess Patent Amortization = ($30,000 ÷ 6 = $5,000) × 30%) = $1,500</w:t>
      </w:r>
      <w:r>
        <w:rPr>
          <w:rFonts w:ascii="Times New Roman"/>
          <w:sz w:val="24"/>
        </w:rPr>
        <w:br/>
      </w:r>
      <w:r>
        <w:rPr>
          <w:rFonts w:ascii="Times New Roman"/>
          <w:b w:val="false"/>
          <w:i w:val="false"/>
          <w:color w:val="000000"/>
          <w:sz w:val="24"/>
        </w:rPr>
        <w:t>$22,500 − $1,500 = $21,000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$100,000 + $13,500 − ($20,000 × 30%) = $107,500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$107,500 + $21,000 − ($30,000 × 30%) = $119,500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($50,000 × 15% = $7,500) = Dividends received by Jones in 2023</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$200,000 × 40% = $80,000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ASU Number 2016-07 eliminated retrospective application of equity method and requires prospective treatment. Thus, the acquisition cost of the Anderson shares acquired on January 1, 2024 is added to the current fair value of the previous investment.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Investment in Anderson balance 2024 year end:</w:t>
      </w:r>
      <w:r>
        <w:rPr>
          <w:rFonts w:ascii="Times New Roman"/>
          <w:sz w:val="24"/>
        </w:rPr>
        <w:br/>
      </w:r>
      <w:r>
        <w:rPr>
          <w:rFonts w:ascii="Times New Roman"/>
          <w:b w:val="false"/>
          <w:i w:val="false"/>
          <w:color w:val="000000"/>
          <w:sz w:val="24"/>
        </w:rPr>
        <w:t>January 1, 2024 fair value = $120,000 + $200,000 = $320,000</w:t>
      </w:r>
      <w:r>
        <w:rPr>
          <w:rFonts w:ascii="Times New Roman"/>
          <w:sz w:val="24"/>
        </w:rPr>
        <w:br/>
      </w:r>
      <w:r>
        <w:rPr>
          <w:rFonts w:ascii="Times New Roman"/>
          <w:b w:val="false"/>
          <w:i w:val="false"/>
          <w:color w:val="000000"/>
          <w:sz w:val="24"/>
        </w:rPr>
        <w:t>40% of 2024 Anderson net income less dividends = $72,000 − $22,000 = $50,000</w:t>
      </w:r>
      <w:r>
        <w:rPr>
          <w:rFonts w:ascii="Times New Roman"/>
          <w:sz w:val="24"/>
        </w:rPr>
        <w:br/>
      </w:r>
      <w:r>
        <w:rPr>
          <w:rFonts w:ascii="Times New Roman"/>
          <w:b w:val="false"/>
          <w:i w:val="false"/>
          <w:color w:val="000000"/>
          <w:sz w:val="24"/>
        </w:rPr>
        <w:t>December 31, 2024 equity method balance = $320,000 + $50,000 = $370,000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$400,000 − $260,000 = $140,000 × (1 − ($300,000 ÷ $400,000)) = $35,000 × 35% = $12,250 Recognition of its share of intra-entity gross profits by reduction in the Investment in Bartlett Account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Reversal of the deferral entry in 2024, thus recognizing the profit in 2025 income:</w:t>
      </w:r>
      <w:r>
        <w:rPr>
          <w:rFonts w:ascii="Times New Roman"/>
          <w:sz w:val="24"/>
        </w:rPr>
        <w:br/>
      </w:r>
      <w:r>
        <w:rPr>
          <w:rFonts w:ascii="Times New Roman"/>
          <w:b w:val="false"/>
          <w:i w:val="false"/>
          <w:color w:val="000000"/>
          <w:sz w:val="24"/>
        </w:rPr>
        <w:t>$400,000 − $260,000 = $140,000 × (1 − ($300,000 ÷ $400,000)) = $35,000 × 35% = $12,250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$150,000; The fair value is the same as the carrying value so there is no adjustment to the investment account. Thus, the account is carried at the original cost of the investment.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$7,500 Dividends Received = 15% × (Dividends Declared $50,000)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Share of net income: $225,000 × 40% = $90,000</w:t>
      </w:r>
      <w:r>
        <w:rPr>
          <w:rFonts w:ascii="Times New Roman"/>
          <w:sz w:val="24"/>
        </w:rPr>
        <w:br/>
      </w:r>
      <w:r>
        <w:rPr>
          <w:rFonts w:ascii="Times New Roman"/>
          <w:b w:val="false"/>
          <w:i w:val="false"/>
          <w:color w:val="000000"/>
          <w:sz w:val="24"/>
        </w:rPr>
        <w:t>Fair value of 40% acquired: $150,000 + $300,000 = $450,000.</w:t>
      </w:r>
      <w:r>
        <w:rPr>
          <w:rFonts w:ascii="Times New Roman"/>
          <w:sz w:val="24"/>
        </w:rPr>
        <w:br/>
      </w:r>
      <w:r>
        <w:rPr>
          <w:rFonts w:ascii="Times New Roman"/>
          <w:b w:val="false"/>
          <w:i w:val="false"/>
          <w:color w:val="000000"/>
          <w:sz w:val="24"/>
        </w:rPr>
        <w:t>Book value of 40% acquired: $1,100,000 × 40% = $440,000</w:t>
      </w:r>
      <w:r>
        <w:rPr>
          <w:rFonts w:ascii="Times New Roman"/>
          <w:sz w:val="24"/>
        </w:rPr>
        <w:br/>
      </w:r>
      <w:r>
        <w:rPr>
          <w:rFonts w:ascii="Times New Roman"/>
          <w:b w:val="false"/>
          <w:i w:val="false"/>
          <w:color w:val="000000"/>
          <w:sz w:val="24"/>
        </w:rPr>
        <w:t>$450,000 − $440,000 = $10,000 attributable to database</w:t>
      </w:r>
      <w:r>
        <w:rPr>
          <w:rFonts w:ascii="Times New Roman"/>
          <w:sz w:val="24"/>
        </w:rPr>
        <w:br/>
      </w:r>
      <w:r>
        <w:rPr>
          <w:rFonts w:ascii="Times New Roman"/>
          <w:b w:val="false"/>
          <w:i w:val="false"/>
          <w:color w:val="000000"/>
          <w:sz w:val="24"/>
        </w:rPr>
        <w:t>$10,000 ÷ 4 = $2,500</w:t>
      </w:r>
      <w:r>
        <w:rPr>
          <w:rFonts w:ascii="Times New Roman"/>
          <w:sz w:val="24"/>
        </w:rPr>
        <w:br/>
      </w:r>
      <w:r>
        <w:rPr>
          <w:rFonts w:ascii="Times New Roman"/>
          <w:b w:val="false"/>
          <w:i w:val="false"/>
          <w:color w:val="000000"/>
          <w:sz w:val="24"/>
        </w:rPr>
        <w:t>$90,000 − $2,500 = $87,500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$150,000 = $150,000 Balance at date of changing to equity method.</w:t>
      </w:r>
      <w:r>
        <w:rPr>
          <w:rFonts w:ascii="Times New Roman"/>
          <w:sz w:val="24"/>
        </w:rPr>
        <w:br/>
      </w:r>
      <w:r>
        <w:rPr>
          <w:rFonts w:ascii="Times New Roman"/>
          <w:b w:val="false"/>
          <w:i w:val="false"/>
          <w:color w:val="000000"/>
          <w:sz w:val="24"/>
        </w:rPr>
        <w:t>$150,000 + $300,000 + ($90,000 − $2,500) − $20,000 = $517,500 Balance 2024 Year End</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$517,500 + ($25,000 − $625) − $6,000 = $535,875</w:t>
      </w:r>
      <w:r>
        <w:rPr>
          <w:rFonts w:ascii="Times New Roman"/>
          <w:sz w:val="24"/>
        </w:rPr>
        <w:br/>
      </w:r>
      <w:r>
        <w:rPr>
          <w:rFonts w:ascii="Times New Roman"/>
          <w:b w:val="false"/>
          <w:i w:val="false"/>
          <w:color w:val="000000"/>
          <w:sz w:val="24"/>
        </w:rPr>
        <w:t>2025 Beginning Investment Account Balance + (40% of 1st Quarter Income − 1st Quarter Amortization) − 1st Quarter Dividend</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(First Quarter Income × 40%) + (2nd through 4th Quarter Income × 30%) = ($250,000/4 × 40%) + [($250,000/4 × 30%) × 3] = $25,000 + ($18,750 × 3) = $25,000 + $56,250 = $81,250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$600,000 × 40% = $240,000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$900,000 × 40% = $360,000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$2,800,000 + ($600,000 × 40%) − ($350,000 × 40%) = $2,900,000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December 31, 2023: $2,800,000 + ($600,000 × 40%) − ($350,000 × 40%) = $2,900,000</w:t>
      </w:r>
      <w:r>
        <w:rPr>
          <w:rFonts w:ascii="Times New Roman"/>
          <w:sz w:val="24"/>
        </w:rPr>
        <w:br/>
      </w:r>
      <w:r>
        <w:rPr>
          <w:rFonts w:ascii="Times New Roman"/>
          <w:b w:val="false"/>
          <w:i w:val="false"/>
          <w:color w:val="000000"/>
          <w:sz w:val="24"/>
        </w:rPr>
        <w:t>December 31, 2024: $2,900,000 + ($900,000 × 40%) − ($350,000 × 40%) = $3,120,000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$2,000,000 − ($70,000 × 40%) − ($30,000 × 40%) = $1,960,000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w:t>
      </w:r>
    </w:p>
    <w:p>
      <w:pPr>
        <w:keepNext w:val="true"/>
        <w:keepLines w:val="true"/>
        <w:spacing w:after="0"/>
        <w:jc w:val="left"/>
      </w:pPr>
      <w:r>
        <w:rPr>
          <w:rFonts w:ascii="Times New Roman"/>
          <w:b w:val="false"/>
          <w:i w:val="false"/>
          <w:color w:val="000000"/>
          <w:sz w:val="24"/>
        </w:rPr>
        <w:t>$70,000 Loss × 40% = $28,000 Loss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$80,000 − $52,000 = $28,000 Income Recognized; None Deferred</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$1,500,000 + ($300,000 × 30%) − ($100,000 × 30%) = $1,560,000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w:t>
      </w:r>
    </w:p>
    <w:p>
      <w:pPr>
        <w:keepNext w:val="true"/>
        <w:keepLines w:val="true"/>
        <w:spacing w:after="0"/>
        <w:jc w:val="left"/>
      </w:pPr>
      <w:r>
        <w:rPr>
          <w:rFonts w:ascii="Times New Roman"/>
          <w:b w:val="false"/>
          <w:i w:val="false"/>
          <w:color w:val="000000"/>
          <w:sz w:val="24"/>
        </w:rPr>
        <w:t>Investment account balance prior to sale: $1,500,000 + ($300,000 × 30%) − ($100,000 × 30%) = $1,560,000</w:t>
      </w:r>
      <w:r>
        <w:rPr>
          <w:rFonts w:ascii="Times New Roman"/>
          <w:sz w:val="24"/>
        </w:rPr>
        <w:br/>
      </w:r>
      <w:r>
        <w:rPr>
          <w:rFonts w:ascii="Times New Roman"/>
          <w:b w:val="false"/>
          <w:i w:val="false"/>
          <w:color w:val="000000"/>
          <w:sz w:val="24"/>
        </w:rPr>
        <w:t>$1,560,000 × (15,000 ÷ 30,000) = $780,000 Cost of Shares Sold</w:t>
      </w:r>
      <w:r>
        <w:rPr>
          <w:rFonts w:ascii="Times New Roman"/>
          <w:sz w:val="24"/>
        </w:rPr>
        <w:br/>
      </w:r>
      <w:r>
        <w:rPr>
          <w:rFonts w:ascii="Times New Roman"/>
          <w:b w:val="false"/>
          <w:i w:val="false"/>
          <w:color w:val="000000"/>
          <w:sz w:val="24"/>
        </w:rPr>
        <w:t>$800,000 Sales Price − $780,000 Cost of Shares Sold = $20,000 Gain on Sale of Shares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Investment account balance prior to sale: $1,500,000 + ($300,000 × 30%) − ($100,000 × 30%) = $1,560,000</w:t>
      </w:r>
      <w:r>
        <w:rPr>
          <w:rFonts w:ascii="Times New Roman"/>
          <w:sz w:val="24"/>
        </w:rPr>
        <w:br/>
      </w:r>
      <w:r>
        <w:rPr>
          <w:rFonts w:ascii="Times New Roman"/>
          <w:b w:val="false"/>
          <w:i w:val="false"/>
          <w:color w:val="000000"/>
          <w:sz w:val="24"/>
        </w:rPr>
        <w:t>$1,560,000 × (15,000 ÷ 30,000) = $780,000 Cost of shares Sold</w:t>
      </w:r>
      <w:r>
        <w:rPr>
          <w:rFonts w:ascii="Times New Roman"/>
          <w:sz w:val="24"/>
        </w:rPr>
        <w:br/>
      </w:r>
      <w:r>
        <w:rPr>
          <w:rFonts w:ascii="Times New Roman"/>
          <w:b w:val="false"/>
          <w:i w:val="false"/>
          <w:color w:val="000000"/>
          <w:sz w:val="24"/>
        </w:rPr>
        <w:t>$1,560,000 − $780,000 Cost of Shares Sold = $780,000 Balance in the Investment Account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Investment account balance prior to sale: $1,500,000 + ($300,000 × 30%) − ($100,000 × 30%) = $1,560,000</w:t>
      </w:r>
      <w:r>
        <w:rPr>
          <w:rFonts w:ascii="Times New Roman"/>
          <w:sz w:val="24"/>
        </w:rPr>
        <w:br/>
      </w:r>
      <w:r>
        <w:rPr>
          <w:rFonts w:ascii="Times New Roman"/>
          <w:b w:val="false"/>
          <w:i w:val="false"/>
          <w:color w:val="000000"/>
          <w:sz w:val="24"/>
        </w:rPr>
        <w:t>$1,560,000 × (15,000 ÷ 30,000) = $780,000 Cost of Shares Sold</w:t>
      </w:r>
      <w:r>
        <w:rPr>
          <w:rFonts w:ascii="Times New Roman"/>
          <w:sz w:val="24"/>
        </w:rPr>
        <w:br/>
      </w:r>
      <w:r>
        <w:rPr>
          <w:rFonts w:ascii="Times New Roman"/>
          <w:b w:val="false"/>
          <w:i w:val="false"/>
          <w:color w:val="000000"/>
          <w:sz w:val="24"/>
        </w:rPr>
        <w:t>$800,000 Sales Price − $780,000 Cost of Shares Sold = $20,000 Gain on Sale of Shares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$560,000 + ($150,000 × 40%) − ($40,000 × 40%) = $604,000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Investment account balance prior to sale: $560,000 + ($150,000 × 40%) − ($40,000 × 40%) = $604,000</w:t>
      </w:r>
      <w:r>
        <w:rPr>
          <w:rFonts w:ascii="Times New Roman"/>
          <w:sz w:val="24"/>
        </w:rPr>
        <w:br/>
      </w:r>
      <w:r>
        <w:rPr>
          <w:rFonts w:ascii="Times New Roman"/>
          <w:b w:val="false"/>
          <w:i w:val="false"/>
          <w:color w:val="000000"/>
          <w:sz w:val="24"/>
        </w:rPr>
        <w:t>$604,000 × (10,000 ÷ 40,000) = $151,000 Cost of Shares Sold</w:t>
      </w:r>
      <w:r>
        <w:rPr>
          <w:rFonts w:ascii="Times New Roman"/>
          <w:sz w:val="24"/>
        </w:rPr>
        <w:br/>
      </w:r>
      <w:r>
        <w:rPr>
          <w:rFonts w:ascii="Times New Roman"/>
          <w:b w:val="false"/>
          <w:i w:val="false"/>
          <w:color w:val="000000"/>
          <w:sz w:val="24"/>
        </w:rPr>
        <w:t>$150,000 Sales Price − $151,000 Cost of Shares Sold = $1,000 Loss on Sale of Shares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Investment account balance prior to sale: $560,000 + ($150,000 × 40%) − ($40,000 × 40%) = $604,000</w:t>
      </w:r>
      <w:r>
        <w:rPr>
          <w:rFonts w:ascii="Times New Roman"/>
          <w:sz w:val="24"/>
        </w:rPr>
        <w:br/>
      </w:r>
      <w:r>
        <w:rPr>
          <w:rFonts w:ascii="Times New Roman"/>
          <w:b w:val="false"/>
          <w:i w:val="false"/>
          <w:color w:val="000000"/>
          <w:sz w:val="24"/>
        </w:rPr>
        <w:t>$604,000 × (10,000 ÷ 40,000) = $151,000 Cost of Shares Sold</w:t>
      </w:r>
      <w:r>
        <w:rPr>
          <w:rFonts w:ascii="Times New Roman"/>
          <w:sz w:val="24"/>
        </w:rPr>
        <w:br/>
      </w:r>
      <w:r>
        <w:rPr>
          <w:rFonts w:ascii="Times New Roman"/>
          <w:b w:val="false"/>
          <w:i w:val="false"/>
          <w:color w:val="000000"/>
          <w:sz w:val="24"/>
        </w:rPr>
        <w:t>$150,000 Sales Price − $151,000 Cost of Shares Sold = $1,000 Loss on Sale of Shares</w:t>
      </w:r>
      <w:r>
        <w:rPr>
          <w:rFonts w:ascii="Times New Roman"/>
          <w:sz w:val="24"/>
        </w:rPr>
        <w:br/>
      </w:r>
      <w:r>
        <w:rPr>
          <w:rFonts w:ascii="Times New Roman"/>
          <w:b w:val="false"/>
          <w:i w:val="false"/>
          <w:color w:val="000000"/>
          <w:sz w:val="24"/>
        </w:rPr>
        <w:t>$604,000 − $151,000 = $453,000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Investment account balance prior to sale: $560,000 + ($150,000 × 40%) − ($40,000 × 40%) = $604,000</w:t>
      </w:r>
      <w:r>
        <w:rPr>
          <w:rFonts w:ascii="Times New Roman"/>
          <w:sz w:val="24"/>
        </w:rPr>
        <w:br/>
      </w:r>
      <w:r>
        <w:rPr>
          <w:rFonts w:ascii="Times New Roman"/>
          <w:b w:val="false"/>
          <w:i w:val="false"/>
          <w:color w:val="000000"/>
          <w:sz w:val="24"/>
        </w:rPr>
        <w:t>$604,000 × (10,000 ÷ 40,000) = $151,000 Cost of Shares Sold</w:t>
      </w:r>
      <w:r>
        <w:rPr>
          <w:rFonts w:ascii="Times New Roman"/>
          <w:sz w:val="24"/>
        </w:rPr>
        <w:br/>
      </w:r>
      <w:r>
        <w:rPr>
          <w:rFonts w:ascii="Times New Roman"/>
          <w:b w:val="false"/>
          <w:i w:val="false"/>
          <w:color w:val="000000"/>
          <w:sz w:val="24"/>
        </w:rPr>
        <w:t>$150,000 Sales Price − $151,000 Cost of Shares Sold = $1,000 Loss on Sale of Shares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$5,000,000 × 40% = $2,000,000 Book Value for 40% of the Shares</w:t>
      </w:r>
      <w:r>
        <w:rPr>
          <w:rFonts w:ascii="Times New Roman"/>
          <w:sz w:val="24"/>
        </w:rPr>
        <w:br/>
      </w:r>
      <w:r>
        <w:rPr>
          <w:rFonts w:ascii="Times New Roman"/>
          <w:b w:val="false"/>
          <w:i w:val="false"/>
          <w:color w:val="000000"/>
          <w:sz w:val="24"/>
        </w:rPr>
        <w:t>$3,000,000 Price Paid − $2,000,000 Book Value = $1,000,000 Excess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$800,000 Buildings + $500,000 Equipment + $700,000 Franchises = $2,000,000 Fair Value &gt; Book Value of Assets</w:t>
      </w:r>
      <w:r>
        <w:rPr>
          <w:rFonts w:ascii="Times New Roman"/>
          <w:sz w:val="24"/>
        </w:rPr>
        <w:br/>
      </w:r>
      <w:r>
        <w:rPr>
          <w:rFonts w:ascii="Times New Roman"/>
          <w:b w:val="false"/>
          <w:i w:val="false"/>
          <w:color w:val="000000"/>
          <w:sz w:val="24"/>
        </w:rPr>
        <w:t>$2,000,000 × 40% = $800,000 Fair Value Identified to Purchaser</w:t>
      </w:r>
      <w:r>
        <w:rPr>
          <w:rFonts w:ascii="Times New Roman"/>
          <w:sz w:val="24"/>
        </w:rPr>
        <w:br/>
      </w:r>
      <w:r>
        <w:rPr>
          <w:rFonts w:ascii="Times New Roman"/>
          <w:b w:val="false"/>
          <w:i w:val="false"/>
          <w:color w:val="000000"/>
          <w:sz w:val="24"/>
        </w:rPr>
        <w:t>$1,000,000 Excess − $800,000 Fair Value &gt; Book Value = $200,000 Excess Unidentified (Goodwill)</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Buildings: $800,000 ÷ 20 = $40,000 per year × 40% = $16,000</w:t>
      </w:r>
      <w:r>
        <w:rPr>
          <w:rFonts w:ascii="Times New Roman"/>
          <w:sz w:val="24"/>
        </w:rPr>
        <w:br/>
      </w:r>
      <w:r>
        <w:rPr>
          <w:rFonts w:ascii="Times New Roman"/>
          <w:b w:val="false"/>
          <w:i w:val="false"/>
          <w:color w:val="000000"/>
          <w:sz w:val="24"/>
        </w:rPr>
        <w:t>Equipment: $500,000 ÷ 5 = $100,000 per year × 40% = $40,000</w:t>
      </w:r>
      <w:r>
        <w:rPr>
          <w:rFonts w:ascii="Times New Roman"/>
          <w:sz w:val="24"/>
        </w:rPr>
        <w:br/>
      </w:r>
      <w:r>
        <w:rPr>
          <w:rFonts w:ascii="Times New Roman"/>
          <w:b w:val="false"/>
          <w:i w:val="false"/>
          <w:color w:val="000000"/>
          <w:sz w:val="24"/>
        </w:rPr>
        <w:t>Franchises: $700,000 ÷ 10 = $70,000 per year × 40% = $28,000</w:t>
      </w:r>
      <w:r>
        <w:rPr>
          <w:rFonts w:ascii="Times New Roman"/>
          <w:sz w:val="24"/>
        </w:rPr>
        <w:br/>
      </w:r>
      <w:r>
        <w:rPr>
          <w:rFonts w:ascii="Times New Roman"/>
          <w:b w:val="false"/>
          <w:i w:val="false"/>
          <w:color w:val="000000"/>
          <w:sz w:val="24"/>
        </w:rPr>
        <w:t>$16,000 + $40,000 + $28,000 = $84,000 Annual Excess Amortization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w:t>
      </w:r>
    </w:p>
    <w:p>
      <w:pPr>
        <w:keepNext w:val="true"/>
        <w:keepLines w:val="true"/>
        <w:spacing w:after="0"/>
        <w:jc w:val="left"/>
      </w:pPr>
      <w:r>
        <w:rPr>
          <w:rFonts w:ascii="Times New Roman"/>
          <w:b w:val="false"/>
          <w:i w:val="false"/>
          <w:color w:val="000000"/>
          <w:sz w:val="24"/>
        </w:rPr>
        <w:t>$2,000,000 − ($3,000,000 × 30%) = $1,100,000 Price Paid &gt; Book Value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$500,000 Buildings + $500,000 Equipment + $500,000 Franchises = ($1,500,000 Fair Value &gt; Book Value) × 30% = $450,000</w:t>
      </w:r>
      <w:r>
        <w:rPr>
          <w:rFonts w:ascii="Times New Roman"/>
          <w:sz w:val="24"/>
        </w:rPr>
        <w:br/>
      </w:r>
      <w:r>
        <w:rPr>
          <w:rFonts w:ascii="Times New Roman"/>
          <w:b w:val="false"/>
          <w:i w:val="false"/>
          <w:color w:val="000000"/>
          <w:sz w:val="24"/>
        </w:rPr>
        <w:t>($1,100,000 Total &gt; Book Value) − ($450,000 Identified) = $650,000 Unidentified (Goodwill)</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Buildings: $500,000 ÷ 15 = $33,333 per year × 30% = $10,000</w:t>
      </w:r>
      <w:r>
        <w:rPr>
          <w:rFonts w:ascii="Times New Roman"/>
          <w:sz w:val="24"/>
        </w:rPr>
        <w:br/>
      </w:r>
      <w:r>
        <w:rPr>
          <w:rFonts w:ascii="Times New Roman"/>
          <w:b w:val="false"/>
          <w:i w:val="false"/>
          <w:color w:val="000000"/>
          <w:sz w:val="24"/>
        </w:rPr>
        <w:t>Equipment: $500,000 ÷ 5 = $100,000 per year × 30% = $30,000</w:t>
      </w:r>
      <w:r>
        <w:rPr>
          <w:rFonts w:ascii="Times New Roman"/>
          <w:sz w:val="24"/>
        </w:rPr>
        <w:br/>
      </w:r>
      <w:r>
        <w:rPr>
          <w:rFonts w:ascii="Times New Roman"/>
          <w:b w:val="false"/>
          <w:i w:val="false"/>
          <w:color w:val="000000"/>
          <w:sz w:val="24"/>
        </w:rPr>
        <w:t>Franchises: $500,000 ÷ 10 = $50,000 per year × 30% = $15,000</w:t>
      </w:r>
      <w:r>
        <w:rPr>
          <w:rFonts w:ascii="Times New Roman"/>
          <w:sz w:val="24"/>
        </w:rPr>
        <w:br/>
      </w:r>
      <w:r>
        <w:rPr>
          <w:rFonts w:ascii="Times New Roman"/>
          <w:b w:val="false"/>
          <w:i w:val="false"/>
          <w:color w:val="000000"/>
          <w:sz w:val="24"/>
        </w:rPr>
        <w:t>$10,000 + $30,000 + $15,000 = $55,000 Annual Excess Amortization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$2,000,000 + ($300,000 × 30%) − ($100,000 × 30%) − $55,000 = $2,005,000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$75,000 − $55,000 = $20,000 × ($15,000 ÷ $75,000) = $4,000 × 40% = $1,600 Deferred intra-entity gross profit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$110,000 − $70,000 = $40,000 × ($55,000 ÷ $110,000) = $20,000 × 40% = $8,000 Deferred intra-entity gross profit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$100,000 × 40 % = $40,000 − ($1,600 Deferred intra-entity gross profit) = $38,400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$576,000 + ($100,000 × 40%) − ($40,000 × 40%) − ($1,600 Deferred intra-entity gross profit) = $598,400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$120,000 × 40 % = $48,000 + ($1,600 in 2023 Recognized intra-entity gross profit) − ($8,000 in 2024 Deferred intra-entity gross profit) = $41,600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($598,400 Balance 2023) + ($41,600 Income from 2024) − ($16,000 Dividend from 2024) = $624,000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A</w:t>
      </w:r>
    </w:p>
    <w:p>
      <w:pPr>
        <w:keepNext w:val="true"/>
        <w:keepLines w:val="true"/>
        <w:spacing w:after="0"/>
        <w:jc w:val="left"/>
      </w:pPr>
      <w:r>
        <w:rPr>
          <w:rFonts w:ascii="Times New Roman"/>
          <w:b w:val="false"/>
          <w:i w:val="false"/>
          <w:color w:val="000000"/>
          <w:sz w:val="24"/>
        </w:rPr>
        <w:t>$45,000 − $30,000 = $15,000 × ($9,000 ÷ $45,000) = $3,000 × 30% = $900 Deferred intra-entity gross profit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$80,000 − $48,000 = $32,000 × ($20,000 ÷ $80,000) = $8,000 × 30% = $2,400 Deferred intra-entity gross profit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$100,000 × 30% = $30,000 − $900 Share of Deferred gross profit on intra-entity inventory sales = $29,100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$450,000 + ($100,000 × 30% = $30,000 − $900 Deferred) − ($40,000 Dividends × 30%) = $467,100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$120,000 × 30% = $36,000 + ($900 from 2024) − ($2,400 from 2025 Deferral) = $34,500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B</w:t>
      </w:r>
    </w:p>
    <w:p>
      <w:pPr>
        <w:keepNext w:val="true"/>
        <w:keepLines w:val="true"/>
        <w:spacing w:after="0"/>
        <w:jc w:val="left"/>
      </w:pPr>
      <w:r>
        <w:rPr>
          <w:rFonts w:ascii="Times New Roman"/>
          <w:b w:val="false"/>
          <w:i w:val="false"/>
          <w:color w:val="000000"/>
          <w:sz w:val="24"/>
        </w:rPr>
        <w:t>$467,100 + ($34,500 net income) − ($12,000 dividends) = $489,600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keepNext w:val="true"/>
        <w:keepLines w:val="true"/>
        <w:spacing w:after="0"/>
        <w:jc w:val="left"/>
      </w:pPr>
      <w:r>
        <w:rPr>
          <w:rFonts w:ascii="Times New Roman"/>
          <w:b w:val="false"/>
          <w:i w:val="false"/>
          <w:color w:val="000000"/>
          <w:sz w:val="24"/>
        </w:rPr>
        <w:t>The change is prospective only.</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C</w:t>
      </w:r>
    </w:p>
    <w:p>
      <w:pPr>
        <w:keepNext w:val="true"/>
        <w:keepLines w:val="true"/>
        <w:spacing w:after="0"/>
        <w:jc w:val="left"/>
      </w:pPr>
      <w:r>
        <w:rPr>
          <w:rFonts w:ascii="Times New Roman"/>
          <w:b w:val="false"/>
          <w:i w:val="false"/>
          <w:color w:val="000000"/>
          <w:sz w:val="24"/>
        </w:rPr>
        <w:t>$90,000 2023 Cost + $325,000 2024 Cost + ($320,000 Income × 40%) − ($50,000 Dividends × 40%) = $523,000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w:t>
      </w:r>
    </w:p>
    <w:p>
      <w:pPr>
        <w:keepNext w:val="true"/>
        <w:keepLines w:val="true"/>
        <w:spacing w:after="0"/>
        <w:jc w:val="left"/>
      </w:pPr>
      <w:r>
        <w:rPr>
          <w:rFonts w:ascii="Times New Roman"/>
          <w:b w:val="false"/>
          <w:i w:val="false"/>
          <w:color w:val="000000"/>
          <w:sz w:val="24"/>
        </w:rPr>
        <w:t>$300,000 × 40% = $120,000 Credit to the Dividend Income Account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D</w:t>
      </w:r>
    </w:p>
    <w:p>
      <w:pPr>
        <w:keepNext w:val="true"/>
        <w:keepLines w:val="true"/>
        <w:spacing w:after="0"/>
        <w:jc w:val="left"/>
      </w:pPr>
      <w:r>
        <w:rPr>
          <w:rFonts w:ascii="Times New Roman"/>
          <w:b w:val="false"/>
          <w:i w:val="false"/>
          <w:color w:val="000000"/>
          <w:sz w:val="24"/>
        </w:rPr>
        <w:t>$7,000,000 Fair Value × 40 % = $2,800,000 at December 31, 2023</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885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Academic Services Incorporated:</w:t>
            </w:r>
          </w:p>
        </w:tc>
        <w:tc>
          <w:tcPr>
            <w:tcW w:w="2148" w:type="dxa"/>
            <w:tcBorders/>
            <w:tcMar>
              <w:top w:w="15" w:type="dxa"/>
              <w:left w:w="15" w:type="dxa"/>
              <w:bottom w:w="15" w:type="dxa"/>
              <w:right w:w="150" w:type="dxa"/>
            </w:tcMar>
            <w:vAlign w:val="top"/>
          </w:tcPr>
          <w:p>
            <w:pPr>
              <w:keepNext w:val="true"/>
              <w:keepLines w:val="true"/>
            </w:pPr>
          </w:p>
        </w:tc>
      </w:tr>
      <w:tr>
        <w:trPr>
          <w:cantSplit w:val="true"/>
        </w:trPr>
        <w:tc>
          <w:tcPr>
            <w:tcW w:w="8852"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Balance at January 1, 2024</w:t>
            </w:r>
          </w:p>
        </w:tc>
        <w:tc>
          <w:tcPr>
            <w:tcW w:w="214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$ 726,000</w:t>
            </w:r>
          </w:p>
        </w:tc>
      </w:tr>
      <w:tr>
        <w:trPr>
          <w:cantSplit w:val="true"/>
        </w:trPr>
        <w:tc>
          <w:tcPr>
            <w:tcW w:w="8852"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 equity income accrual ($150,000 × 40%)</w:t>
            </w:r>
          </w:p>
        </w:tc>
        <w:tc>
          <w:tcPr>
            <w:tcW w:w="2148"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60,000</w:t>
            </w:r>
          </w:p>
        </w:tc>
      </w:tr>
      <w:tr>
        <w:trPr>
          <w:trHeight w:val="15" w:hRule="atLeast"/>
          <w:cantSplit w:val="true"/>
        </w:trPr>
        <w:tc>
          <w:tcPr>
            <w:tcW w:w="8852"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 dividends ($40,000 × 40%)</w:t>
            </w:r>
          </w:p>
        </w:tc>
        <w:tc>
          <w:tcPr>
            <w:tcW w:w="2148"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(16,000)</w:t>
            </w:r>
          </w:p>
        </w:tc>
      </w:tr>
      <w:tr>
        <w:trPr>
          <w:trHeight w:val="30" w:hRule="atLeast"/>
          <w:cantSplit w:val="true"/>
        </w:trPr>
        <w:tc>
          <w:tcPr>
            <w:tcW w:w="8852"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Balance at December 31, 2024</w:t>
            </w:r>
          </w:p>
        </w:tc>
        <w:tc>
          <w:tcPr>
            <w:tcW w:w="2148"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$ 770,000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985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 equity income accrual ($120,000 × 25%)</w:t>
            </w:r>
          </w:p>
        </w:tc>
        <w:tc>
          <w:tcPr>
            <w:tcW w:w="2147"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$ 30,000</w:t>
            </w:r>
          </w:p>
        </w:tc>
      </w:tr>
      <w:tr>
        <w:trPr>
          <w:trHeight w:val="15" w:hRule="atLeast"/>
          <w:cantSplit w:val="true"/>
        </w:trPr>
        <w:tc>
          <w:tcPr>
            <w:tcW w:w="985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 amortization on purchase ($80,000 ÷ 20 × 25%)</w:t>
            </w:r>
          </w:p>
        </w:tc>
        <w:tc>
          <w:tcPr>
            <w:tcW w:w="2147"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(1,000)</w:t>
            </w:r>
          </w:p>
        </w:tc>
      </w:tr>
      <w:tr>
        <w:trPr>
          <w:trHeight w:val="30" w:hRule="atLeast"/>
          <w:cantSplit w:val="true"/>
        </w:trPr>
        <w:tc>
          <w:tcPr>
            <w:tcW w:w="985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 equity income</w:t>
            </w:r>
          </w:p>
        </w:tc>
        <w:tc>
          <w:tcPr>
            <w:tcW w:w="2147"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$ 29,000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journal entry is:</w:t>
      </w:r>
      <w:r>
        <w:rPr>
          <w:rFonts w:ascii="Times New Roman"/>
          <w:sz w:val="24"/>
        </w:rPr>
      </w:r>
    </w:p>
    <w:tbl>
      <w:tblPr>
        <w:jc w:val="left"/>
        <w:tblInd w:w="360" w:type="dxa"/>
        <w:tblLayout w:type="autofit"/>
      </w:tblPr>
      <w:tr>
        <w:trPr>
          <w:cantSplit w:val="true"/>
        </w:trPr>
        <w:tc>
          <w:tcPr>
            <w:tcW w:w="6000" w:type="dxa"/>
            <w:tcBorders/>
            <w:tcMar>
              <w:top w:w="15" w:type="dxa"/>
              <w:left w:w="15" w:type="dxa"/>
              <w:bottom w:w="15" w:type="dxa"/>
              <w:right w:w="15" w:type="dxa"/>
            </w:tcMar>
            <w:vAlign w:val="top"/>
          </w:tcPr>
          <w:p>
            <w:pPr>
              <w:keepNext w:val="true"/>
              <w:keepLines w:val="true"/>
            </w:pPr>
          </w:p>
        </w:tc>
        <w:tc>
          <w:tcPr>
            <w:tcW w:w="16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Debit</w:t>
            </w:r>
          </w:p>
        </w:tc>
        <w:tc>
          <w:tcPr>
            <w:tcW w:w="16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600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Dastan Company</w:t>
            </w:r>
          </w:p>
        </w:tc>
        <w:tc>
          <w:tcPr>
            <w:tcW w:w="160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625,000</w:t>
            </w:r>
          </w:p>
        </w:tc>
        <w:tc>
          <w:tcPr>
            <w:tcW w:w="1600" w:type="dxa"/>
            <w:tcBorders/>
            <w:tcMar>
              <w:top w:w="15" w:type="dxa"/>
              <w:left w:w="15" w:type="dxa"/>
              <w:bottom w:w="15" w:type="dxa"/>
              <w:right w:w="150" w:type="dxa"/>
            </w:tcMar>
            <w:vAlign w:val="top"/>
          </w:tcPr>
          <w:p>
            <w:pPr>
              <w:keepNext w:val="true"/>
              <w:keepLines w:val="true"/>
            </w:pPr>
          </w:p>
        </w:tc>
      </w:tr>
      <w:tr>
        <w:trPr>
          <w:cantSplit w:val="true"/>
        </w:trPr>
        <w:tc>
          <w:tcPr>
            <w:tcW w:w="600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600" w:type="dxa"/>
            <w:tcBorders/>
            <w:tcMar>
              <w:top w:w="15" w:type="dxa"/>
              <w:left w:w="15" w:type="dxa"/>
              <w:bottom w:w="15" w:type="dxa"/>
              <w:right w:w="150" w:type="dxa"/>
            </w:tcMar>
            <w:vAlign w:val="top"/>
          </w:tcPr>
          <w:p>
            <w:pPr>
              <w:keepNext w:val="true"/>
              <w:keepLines w:val="true"/>
            </w:pPr>
          </w:p>
        </w:tc>
        <w:tc>
          <w:tcPr>
            <w:tcW w:w="160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625,000</w:t>
            </w:r>
          </w:p>
        </w:tc>
      </w:tr>
    </w:tbl>
    <w:p>
      <w:pPr>
        <w:keepNext w:val="true"/>
        <w:keepLines w:val="true"/>
        <w:spacing w:after="0"/>
        <w:ind w:left="360"/>
        <w:jc w:val="left"/>
      </w:pPr>
      <w:r>
        <w:rPr>
          <w:rFonts w:ascii="Times New Roman"/>
          <w:b w:val="false"/>
          <w:i w:val="false"/>
          <w:color w:val="000000"/>
          <w:sz w:val="24"/>
        </w:rPr>
        <w:t>The amount of goodwill does not affect the journal entry used to record the investment.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1)</w:t>
      </w:r>
      <w:r>
        <w:rPr>
          <w:rFonts w:ascii="Times New Roman"/>
          <w:sz w:val="24"/>
        </w:rPr>
      </w:r>
    </w:p>
    <w:tbl>
      <w:tblPr>
        <w:jc w:val="left"/>
        <w:tblInd w:w="360" w:type="dxa"/>
        <w:tblLayout w:type="autofit"/>
      </w:tblPr>
      <w:tr>
        <w:trPr>
          <w:cantSplit w:val="true"/>
        </w:trPr>
        <w:tc>
          <w:tcPr>
            <w:tcW w:w="685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Purchase price</w:t>
            </w:r>
          </w:p>
        </w:tc>
        <w:tc>
          <w:tcPr>
            <w:tcW w:w="214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$ 500,000</w:t>
            </w:r>
          </w:p>
        </w:tc>
      </w:tr>
      <w:tr>
        <w:trPr>
          <w:trHeight w:val="15" w:hRule="atLeast"/>
          <w:cantSplit w:val="true"/>
        </w:trPr>
        <w:tc>
          <w:tcPr>
            <w:tcW w:w="685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Net book value ($1,800,000 × 25%)</w:t>
            </w:r>
          </w:p>
        </w:tc>
        <w:tc>
          <w:tcPr>
            <w:tcW w:w="2145"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(450,000)</w:t>
            </w:r>
          </w:p>
        </w:tc>
      </w:tr>
      <w:tr>
        <w:trPr>
          <w:trHeight w:val="30" w:hRule="atLeast"/>
          <w:cantSplit w:val="true"/>
        </w:trPr>
        <w:tc>
          <w:tcPr>
            <w:tcW w:w="685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Goodwill</w:t>
            </w:r>
          </w:p>
        </w:tc>
        <w:tc>
          <w:tcPr>
            <w:tcW w:w="2145"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$ 50,000</w:t>
            </w:r>
          </w:p>
        </w:tc>
      </w:tr>
    </w:tbl>
    <w:p>
      <w:pPr>
        <w:keepNext w:val="true"/>
        <w:keepLines w:val="true"/>
        <w:spacing w:after="0"/>
        <w:ind w:left="360"/>
        <w:jc w:val="left"/>
      </w:pPr>
      <w:r>
        <w:rPr>
          <w:rFonts w:ascii="Times New Roman"/>
          <w:b w:val="false"/>
          <w:i w:val="false"/>
          <w:color w:val="000000"/>
          <w:sz w:val="24"/>
        </w:rPr>
        <w:t>2)</w:t>
      </w:r>
      <w:r>
        <w:rPr>
          <w:rFonts w:ascii="Times New Roman"/>
          <w:sz w:val="24"/>
        </w:rPr>
      </w:r>
    </w:p>
    <w:tbl>
      <w:tblPr>
        <w:jc w:val="left"/>
        <w:tblInd w:w="360" w:type="dxa"/>
        <w:tblLayout w:type="autofit"/>
      </w:tblPr>
      <w:tr>
        <w:trPr>
          <w:cantSplit w:val="true"/>
        </w:trPr>
        <w:tc>
          <w:tcPr>
            <w:tcW w:w="785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Jones Corporation:</w:t>
            </w:r>
          </w:p>
        </w:tc>
        <w:tc>
          <w:tcPr>
            <w:tcW w:w="2142" w:type="dxa"/>
            <w:tcBorders/>
            <w:tcMar>
              <w:top w:w="15" w:type="dxa"/>
              <w:left w:w="15" w:type="dxa"/>
              <w:bottom w:w="15" w:type="dxa"/>
              <w:right w:w="150" w:type="dxa"/>
            </w:tcMar>
            <w:vAlign w:val="top"/>
          </w:tcPr>
          <w:p>
            <w:pPr>
              <w:keepNext w:val="true"/>
              <w:keepLines w:val="true"/>
            </w:pPr>
          </w:p>
        </w:tc>
      </w:tr>
      <w:tr>
        <w:trPr>
          <w:cantSplit w:val="true"/>
        </w:trPr>
        <w:tc>
          <w:tcPr>
            <w:tcW w:w="785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Acquisition price</w:t>
            </w:r>
          </w:p>
        </w:tc>
        <w:tc>
          <w:tcPr>
            <w:tcW w:w="214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$ 500,000</w:t>
            </w:r>
          </w:p>
        </w:tc>
      </w:tr>
      <w:tr>
        <w:trPr>
          <w:cantSplit w:val="true"/>
        </w:trPr>
        <w:tc>
          <w:tcPr>
            <w:tcW w:w="785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 equity loss accrual ($60,000 × 25%)</w:t>
            </w:r>
          </w:p>
        </w:tc>
        <w:tc>
          <w:tcPr>
            <w:tcW w:w="2142" w:type="dxa"/>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(15,000)</w:t>
            </w:r>
          </w:p>
        </w:tc>
      </w:tr>
      <w:tr>
        <w:trPr>
          <w:trHeight w:val="15" w:hRule="atLeast"/>
          <w:cantSplit w:val="true"/>
        </w:trPr>
        <w:tc>
          <w:tcPr>
            <w:tcW w:w="785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2024 dividends ($100,000 × 25%)</w:t>
            </w:r>
          </w:p>
        </w:tc>
        <w:tc>
          <w:tcPr>
            <w:tcW w:w="2142"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(25,000)</w:t>
            </w:r>
          </w:p>
        </w:tc>
      </w:tr>
      <w:tr>
        <w:trPr>
          <w:trHeight w:val="30" w:hRule="atLeast"/>
          <w:cantSplit w:val="true"/>
        </w:trPr>
        <w:tc>
          <w:tcPr>
            <w:tcW w:w="785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Balance at December 31, 2024</w:t>
            </w:r>
          </w:p>
        </w:tc>
        <w:tc>
          <w:tcPr>
            <w:tcW w:w="2142"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$ 460,000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22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Hicks Company:</w:t>
            </w:r>
          </w:p>
        </w:tc>
        <w:tc>
          <w:tcPr>
            <w:tcW w:w="2365" w:type="dxa"/>
            <w:tcBorders/>
            <w:tcMar>
              <w:top w:w="15" w:type="dxa"/>
              <w:left w:w="15" w:type="dxa"/>
              <w:bottom w:w="15" w:type="dxa"/>
              <w:right w:w="150" w:type="dxa"/>
            </w:tcMar>
            <w:vAlign w:val="top"/>
          </w:tcPr>
          <w:p>
            <w:pPr>
              <w:keepNext w:val="true"/>
              <w:keepLines w:val="true"/>
            </w:pPr>
          </w:p>
        </w:tc>
      </w:tr>
      <w:tr>
        <w:trPr>
          <w:cantSplit w:val="true"/>
        </w:trPr>
        <w:tc>
          <w:tcPr>
            <w:tcW w:w="122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Acquisition price</w:t>
            </w:r>
          </w:p>
        </w:tc>
        <w:tc>
          <w:tcPr>
            <w:tcW w:w="236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$ 1,300,000</w:t>
            </w:r>
          </w:p>
        </w:tc>
      </w:tr>
      <w:tr>
        <w:trPr>
          <w:cantSplit w:val="true"/>
        </w:trPr>
        <w:tc>
          <w:tcPr>
            <w:tcW w:w="122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income ($368,000 × 30%)</w:t>
            </w:r>
          </w:p>
        </w:tc>
        <w:tc>
          <w:tcPr>
            <w:tcW w:w="236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110,400</w:t>
            </w:r>
          </w:p>
        </w:tc>
      </w:tr>
      <w:tr>
        <w:trPr>
          <w:cantSplit w:val="true"/>
        </w:trPr>
        <w:tc>
          <w:tcPr>
            <w:tcW w:w="122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Dividends ($107,000 × 30%)</w:t>
            </w:r>
          </w:p>
        </w:tc>
        <w:tc>
          <w:tcPr>
            <w:tcW w:w="2365" w:type="dxa"/>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(32,100)</w:t>
            </w:r>
          </w:p>
        </w:tc>
      </w:tr>
      <w:tr>
        <w:trPr>
          <w:trHeight w:val="15" w:hRule="atLeast"/>
          <w:cantSplit w:val="true"/>
        </w:trPr>
        <w:tc>
          <w:tcPr>
            <w:tcW w:w="122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Excess copyright amortization (($1,300,000 − $1,175,000) ÷ 10)</w:t>
            </w:r>
          </w:p>
        </w:tc>
        <w:tc>
          <w:tcPr>
            <w:tcW w:w="2365"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(12,500)</w:t>
            </w:r>
          </w:p>
        </w:tc>
      </w:tr>
      <w:tr>
        <w:trPr>
          <w:trHeight w:val="30" w:hRule="atLeast"/>
          <w:cantSplit w:val="true"/>
        </w:trPr>
        <w:tc>
          <w:tcPr>
            <w:tcW w:w="122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Balance at December 31, 2024</w:t>
            </w:r>
          </w:p>
        </w:tc>
        <w:tc>
          <w:tcPr>
            <w:tcW w:w="2365"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$ 1,365,800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Purchase price of Cranston stock</w:t>
            </w:r>
          </w:p>
        </w:tc>
        <w:tc>
          <w:tcPr>
            <w:tcW w:w="217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$ 250,000</w:t>
            </w:r>
          </w:p>
        </w:tc>
      </w:tr>
      <w:tr>
        <w:trPr>
          <w:trHeight w:val="15" w:hRule="atLeast"/>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Equivalent book value of Cranston stock ($430,000 × 40%)</w:t>
            </w:r>
          </w:p>
        </w:tc>
        <w:tc>
          <w:tcPr>
            <w:tcW w:w="2170"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(172,000)</w:t>
            </w:r>
          </w:p>
        </w:tc>
      </w:tr>
      <w:tr>
        <w:trPr>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Trademark</w:t>
            </w:r>
          </w:p>
        </w:tc>
        <w:tc>
          <w:tcPr>
            <w:tcW w:w="217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78,000</w:t>
            </w:r>
          </w:p>
        </w:tc>
      </w:tr>
      <w:tr>
        <w:trPr>
          <w:trHeight w:val="15" w:hRule="atLeast"/>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Life in years</w:t>
            </w:r>
          </w:p>
        </w:tc>
        <w:tc>
          <w:tcPr>
            <w:tcW w:w="2170"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20</w:t>
            </w:r>
          </w:p>
        </w:tc>
      </w:tr>
      <w:tr>
        <w:trPr>
          <w:trHeight w:val="30" w:hRule="atLeast"/>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Annual amortization</w:t>
            </w:r>
          </w:p>
        </w:tc>
        <w:tc>
          <w:tcPr>
            <w:tcW w:w="2170"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$ 3,900</w:t>
            </w:r>
          </w:p>
        </w:tc>
      </w:tr>
    </w:tbl>
    <w:tbl>
      <w:tblPr>
        <w:jc w:val="left"/>
        <w:tblInd w:w="360" w:type="dxa"/>
        <w:tblLayout w:type="autofit"/>
      </w:tblPr>
      <w:tr>
        <w:trPr>
          <w:cantSplit w:val="true"/>
        </w:trPr>
        <w:tc>
          <w:tcPr>
            <w:tcW w:w="6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Debit</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600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Cranston</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250,000</w:t>
            </w:r>
          </w:p>
        </w:tc>
        <w:tc>
          <w:tcPr>
            <w:tcW w:w="2000" w:type="dxa"/>
            <w:tcBorders/>
            <w:tcMar>
              <w:top w:w="15" w:type="dxa"/>
              <w:left w:w="15" w:type="dxa"/>
              <w:bottom w:w="15" w:type="dxa"/>
              <w:right w:w="15" w:type="dxa"/>
            </w:tcMar>
            <w:vAlign w:val="top"/>
          </w:tcPr>
          <w:p>
            <w:pPr>
              <w:keepNext w:val="true"/>
              <w:keepLines w:val="true"/>
            </w:pPr>
          </w:p>
        </w:tc>
      </w:tr>
      <w:tr>
        <w:trPr>
          <w:cantSplit w:val="true"/>
        </w:trPr>
        <w:tc>
          <w:tcPr>
            <w:tcW w:w="600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 (or liability)</w:t>
            </w:r>
          </w:p>
        </w:tc>
        <w:tc>
          <w:tcPr>
            <w:tcW w:w="2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250,000</w:t>
            </w:r>
          </w:p>
        </w:tc>
      </w:tr>
    </w:tbl>
    <w:p>
      <w:pPr>
        <w:keepNext w:val="true"/>
        <w:keepLines w:val="true"/>
        <w:spacing w:after="0"/>
        <w:ind w:left="360"/>
        <w:jc w:val="left"/>
      </w:pPr>
      <w:r>
        <w:rPr>
          <w:rFonts w:ascii="Times New Roman"/>
          <w:b w:val="false"/>
          <w:i w:val="false"/>
          <w:color w:val="000000"/>
          <w:sz w:val="24"/>
        </w:rPr>
        <w:t>To record acquisition of a 40% interest in Cranston.</w:t>
      </w:r>
      <w:r>
        <w:rPr>
          <w:rFonts w:ascii="Times New Roman"/>
          <w:sz w:val="24"/>
        </w:rPr>
      </w:r>
    </w:p>
    <w:tbl>
      <w:tblPr>
        <w:jc w:val="left"/>
        <w:tblInd w:w="360" w:type="dxa"/>
        <w:tblLayout w:type="autofit"/>
      </w:tblPr>
      <w:tr>
        <w:trPr>
          <w:cantSplit w:val="true"/>
        </w:trPr>
        <w:tc>
          <w:tcPr>
            <w:tcW w:w="6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Debit</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600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Cranston</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40,000</w:t>
            </w:r>
          </w:p>
        </w:tc>
        <w:tc>
          <w:tcPr>
            <w:tcW w:w="2000" w:type="dxa"/>
            <w:tcBorders/>
            <w:tcMar>
              <w:top w:w="15" w:type="dxa"/>
              <w:left w:w="15" w:type="dxa"/>
              <w:bottom w:w="15" w:type="dxa"/>
              <w:right w:w="15" w:type="dxa"/>
            </w:tcMar>
            <w:vAlign w:val="top"/>
          </w:tcPr>
          <w:p>
            <w:pPr>
              <w:keepNext w:val="true"/>
              <w:keepLines w:val="true"/>
            </w:pPr>
          </w:p>
        </w:tc>
      </w:tr>
      <w:tr>
        <w:trPr>
          <w:cantSplit w:val="true"/>
        </w:trPr>
        <w:tc>
          <w:tcPr>
            <w:tcW w:w="600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2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40,000</w:t>
            </w:r>
          </w:p>
        </w:tc>
      </w:tr>
    </w:tbl>
    <w:p>
      <w:pPr>
        <w:keepNext w:val="true"/>
        <w:keepLines w:val="true"/>
        <w:spacing w:after="0"/>
        <w:ind w:left="360"/>
        <w:jc w:val="left"/>
      </w:pPr>
      <w:r>
        <w:rPr>
          <w:rFonts w:ascii="Times New Roman"/>
          <w:b w:val="false"/>
          <w:i w:val="false"/>
          <w:color w:val="000000"/>
          <w:sz w:val="24"/>
        </w:rPr>
        <w:t>To recognize forty percent of income earned during the period by Cranston, an investment recorded using the equity method.</w:t>
      </w:r>
      <w:r>
        <w:rPr>
          <w:rFonts w:ascii="Times New Roman"/>
          <w:sz w:val="24"/>
        </w:rPr>
      </w:r>
    </w:p>
    <w:tbl>
      <w:tblPr>
        <w:jc w:val="left"/>
        <w:tblInd w:w="360" w:type="dxa"/>
        <w:tblLayout w:type="autofit"/>
      </w:tblPr>
      <w:tr>
        <w:trPr>
          <w:cantSplit w:val="true"/>
        </w:trPr>
        <w:tc>
          <w:tcPr>
            <w:tcW w:w="7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Debit</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700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12,000</w:t>
            </w:r>
          </w:p>
        </w:tc>
        <w:tc>
          <w:tcPr>
            <w:tcW w:w="2000" w:type="dxa"/>
            <w:tcBorders/>
            <w:tcMar>
              <w:top w:w="15" w:type="dxa"/>
              <w:left w:w="15" w:type="dxa"/>
              <w:bottom w:w="15" w:type="dxa"/>
              <w:right w:w="15" w:type="dxa"/>
            </w:tcMar>
            <w:vAlign w:val="top"/>
          </w:tcPr>
          <w:p>
            <w:pPr>
              <w:keepNext w:val="true"/>
              <w:keepLines w:val="true"/>
            </w:pPr>
          </w:p>
        </w:tc>
      </w:tr>
      <w:tr>
        <w:trPr>
          <w:cantSplit w:val="true"/>
        </w:trPr>
        <w:tc>
          <w:tcPr>
            <w:tcW w:w="700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Cranston Incorporated</w:t>
            </w:r>
          </w:p>
        </w:tc>
        <w:tc>
          <w:tcPr>
            <w:tcW w:w="2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12,000</w:t>
            </w:r>
          </w:p>
        </w:tc>
      </w:tr>
    </w:tbl>
    <w:p>
      <w:pPr>
        <w:keepNext w:val="true"/>
        <w:keepLines w:val="true"/>
        <w:spacing w:after="0"/>
        <w:ind w:left="360"/>
        <w:jc w:val="left"/>
      </w:pPr>
      <w:r>
        <w:rPr>
          <w:rFonts w:ascii="Times New Roman"/>
          <w:b w:val="false"/>
          <w:i w:val="false"/>
          <w:color w:val="000000"/>
          <w:sz w:val="24"/>
        </w:rPr>
        <w:t>To record collection of dividend from investee using the equity method.</w:t>
      </w:r>
      <w:r>
        <w:rPr>
          <w:rFonts w:ascii="Times New Roman"/>
          <w:sz w:val="24"/>
        </w:rPr>
      </w:r>
    </w:p>
    <w:tbl>
      <w:tblPr>
        <w:jc w:val="left"/>
        <w:tblInd w:w="360" w:type="dxa"/>
        <w:tblLayout w:type="autofit"/>
      </w:tblPr>
      <w:tr>
        <w:trPr>
          <w:cantSplit w:val="true"/>
        </w:trPr>
        <w:tc>
          <w:tcPr>
            <w:tcW w:w="6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Debit</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600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3,900</w:t>
            </w:r>
          </w:p>
        </w:tc>
        <w:tc>
          <w:tcPr>
            <w:tcW w:w="2000" w:type="dxa"/>
            <w:tcBorders/>
            <w:tcMar>
              <w:top w:w="15" w:type="dxa"/>
              <w:left w:w="15" w:type="dxa"/>
              <w:bottom w:w="15" w:type="dxa"/>
              <w:right w:w="15" w:type="dxa"/>
            </w:tcMar>
            <w:vAlign w:val="top"/>
          </w:tcPr>
          <w:p>
            <w:pPr>
              <w:keepNext w:val="true"/>
              <w:keepLines w:val="true"/>
            </w:pPr>
          </w:p>
        </w:tc>
      </w:tr>
      <w:tr>
        <w:trPr>
          <w:cantSplit w:val="true"/>
        </w:trPr>
        <w:tc>
          <w:tcPr>
            <w:tcW w:w="600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Cranston</w:t>
            </w:r>
          </w:p>
        </w:tc>
        <w:tc>
          <w:tcPr>
            <w:tcW w:w="2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3,900</w:t>
            </w:r>
          </w:p>
        </w:tc>
      </w:tr>
    </w:tbl>
    <w:p>
      <w:pPr>
        <w:keepNext w:val="true"/>
        <w:keepLines w:val="true"/>
        <w:spacing w:after="0"/>
        <w:ind w:left="360"/>
        <w:jc w:val="left"/>
      </w:pPr>
      <w:r>
        <w:rPr>
          <w:rFonts w:ascii="Times New Roman"/>
          <w:b w:val="false"/>
          <w:i w:val="false"/>
          <w:color w:val="000000"/>
          <w:sz w:val="24"/>
        </w:rPr>
        <w:t>To reflect amortization of trademark excess over book value acquired.</w:t>
      </w:r>
      <w:r>
        <w:rPr>
          <w:rFonts w:ascii="Times New Roman"/>
          <w:sz w:val="24"/>
        </w:rPr>
        <w:br/>
      </w:r>
      <w:r>
        <w:rPr>
          <w:rFonts w:ascii="Times New Roman"/>
          <w:b w:val="false"/>
          <w:i w:val="false"/>
          <w:color w:val="000000"/>
          <w:sz w:val="24"/>
        </w:rPr>
        <w:t>**Note: All merchandise was used, so no deferral entry is needed.</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985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Ending inventory ($270,000 − $108,000)</w:t>
            </w:r>
          </w:p>
        </w:tc>
        <w:tc>
          <w:tcPr>
            <w:tcW w:w="215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$ 162,000</w:t>
            </w:r>
          </w:p>
        </w:tc>
      </w:tr>
      <w:tr>
        <w:trPr>
          <w:trHeight w:val="15" w:hRule="atLeast"/>
          <w:cantSplit w:val="true"/>
        </w:trPr>
        <w:tc>
          <w:tcPr>
            <w:tcW w:w="985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Gross profit markup ($90,000 ÷ $270,000)</w:t>
            </w:r>
          </w:p>
        </w:tc>
        <w:tc>
          <w:tcPr>
            <w:tcW w:w="2150"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1/3</w:t>
            </w:r>
          </w:p>
        </w:tc>
      </w:tr>
      <w:tr>
        <w:trPr>
          <w:cantSplit w:val="true"/>
        </w:trPr>
        <w:tc>
          <w:tcPr>
            <w:tcW w:w="985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Gross profit on intra-entity inventory sales</w:t>
            </w:r>
          </w:p>
        </w:tc>
        <w:tc>
          <w:tcPr>
            <w:tcW w:w="215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$ 54,000</w:t>
            </w:r>
          </w:p>
        </w:tc>
      </w:tr>
      <w:tr>
        <w:trPr>
          <w:trHeight w:val="15" w:hRule="atLeast"/>
          <w:cantSplit w:val="true"/>
        </w:trPr>
        <w:tc>
          <w:tcPr>
            <w:tcW w:w="985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Ownership percentage</w:t>
            </w:r>
          </w:p>
        </w:tc>
        <w:tc>
          <w:tcPr>
            <w:tcW w:w="2150" w:type="dxa"/>
            <w:tcBorders>
              <w:bottom w:val="single" w:color="000000" w:sz="8"/>
            </w:tcBorders>
            <w:tcMar>
              <w:top w:w="15" w:type="dxa"/>
              <w:left w:w="15" w:type="dxa"/>
              <w:bottom w:w="15" w:type="dxa"/>
              <w:right w:w="45" w:type="dxa"/>
            </w:tcMar>
            <w:vAlign w:val="top"/>
          </w:tcPr>
          <w:p>
            <w:pPr>
              <w:keepNext w:val="true"/>
              <w:keepLines w:val="true"/>
              <w:spacing w:after="0"/>
              <w:ind w:left="0"/>
              <w:jc w:val="right"/>
            </w:pPr>
            <w:r>
              <w:rPr>
                <w:rFonts w:ascii="Courier New" w:hAnsi="Courier New"/>
                <w:b w:val="false"/>
                <w:i w:val="false"/>
                <w:color w:val="000000"/>
                <w:sz w:val="22"/>
              </w:rPr>
              <w:t>× 25%</w:t>
            </w:r>
          </w:p>
        </w:tc>
      </w:tr>
      <w:tr>
        <w:trPr>
          <w:trHeight w:val="30" w:hRule="atLeast"/>
          <w:cantSplit w:val="true"/>
        </w:trPr>
        <w:tc>
          <w:tcPr>
            <w:tcW w:w="985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Wathan’s share intra-entity inventory gross profit to defer to subsequent year</w:t>
            </w:r>
          </w:p>
        </w:tc>
        <w:tc>
          <w:tcPr>
            <w:tcW w:w="2150"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$ 13,500</w:t>
            </w:r>
          </w:p>
        </w:tc>
      </w:tr>
    </w:tbl>
    <w:tbl>
      <w:tblPr>
        <w:jc w:val="left"/>
        <w:tblInd w:w="360" w:type="dxa"/>
        <w:tblLayout w:type="autofit"/>
      </w:tblPr>
      <w:tr>
        <w:trPr>
          <w:cantSplit w:val="true"/>
        </w:trPr>
        <w:tc>
          <w:tcPr>
            <w:tcW w:w="7366" w:type="dxa"/>
            <w:tcBorders/>
            <w:tcMar>
              <w:top w:w="15" w:type="dxa"/>
              <w:left w:w="15" w:type="dxa"/>
              <w:bottom w:w="15" w:type="dxa"/>
              <w:right w:w="15" w:type="dxa"/>
            </w:tcMar>
            <w:vAlign w:val="top"/>
          </w:tcPr>
          <w:p>
            <w:pPr>
              <w:keepNext w:val="true"/>
              <w:keepLines w:val="true"/>
            </w:pPr>
          </w:p>
        </w:tc>
        <w:tc>
          <w:tcPr>
            <w:tcW w:w="191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Debit</w:t>
            </w:r>
          </w:p>
        </w:tc>
        <w:tc>
          <w:tcPr>
            <w:tcW w:w="191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736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Income—Investment in Miller</w:t>
            </w:r>
          </w:p>
        </w:tc>
        <w:tc>
          <w:tcPr>
            <w:tcW w:w="191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13,500</w:t>
            </w:r>
          </w:p>
        </w:tc>
        <w:tc>
          <w:tcPr>
            <w:tcW w:w="1917" w:type="dxa"/>
            <w:tcBorders/>
            <w:tcMar>
              <w:top w:w="15" w:type="dxa"/>
              <w:left w:w="15" w:type="dxa"/>
              <w:bottom w:w="15" w:type="dxa"/>
              <w:right w:w="300" w:type="dxa"/>
            </w:tcMar>
            <w:vAlign w:val="top"/>
          </w:tcPr>
          <w:p>
            <w:pPr>
              <w:keepNext w:val="true"/>
              <w:keepLines w:val="true"/>
            </w:pPr>
          </w:p>
        </w:tc>
      </w:tr>
      <w:tr>
        <w:trPr>
          <w:cantSplit w:val="true"/>
        </w:trPr>
        <w:tc>
          <w:tcPr>
            <w:tcW w:w="7366"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Miller</w:t>
            </w:r>
          </w:p>
        </w:tc>
        <w:tc>
          <w:tcPr>
            <w:tcW w:w="1917" w:type="dxa"/>
            <w:tcBorders/>
            <w:tcMar>
              <w:top w:w="15" w:type="dxa"/>
              <w:left w:w="15" w:type="dxa"/>
              <w:bottom w:w="15" w:type="dxa"/>
              <w:right w:w="300" w:type="dxa"/>
            </w:tcMar>
            <w:vAlign w:val="top"/>
          </w:tcPr>
          <w:p>
            <w:pPr>
              <w:keepNext w:val="true"/>
              <w:keepLines w:val="true"/>
            </w:pPr>
          </w:p>
        </w:tc>
        <w:tc>
          <w:tcPr>
            <w:tcW w:w="191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13,500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02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2157" w:type="dxa"/>
            <w:tcBorders/>
            <w:tcMar>
              <w:top w:w="15" w:type="dxa"/>
              <w:left w:w="15" w:type="dxa"/>
              <w:bottom w:w="15" w:type="dxa"/>
              <w:right w:w="150" w:type="dxa"/>
            </w:tcMar>
            <w:vAlign w:val="top"/>
          </w:tcPr>
          <w:p>
            <w:pPr>
              <w:keepNext w:val="true"/>
              <w:keepLines w:val="true"/>
            </w:pPr>
          </w:p>
        </w:tc>
      </w:tr>
      <w:tr>
        <w:trPr>
          <w:cantSplit w:val="true"/>
        </w:trPr>
        <w:tc>
          <w:tcPr>
            <w:tcW w:w="102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income accrual ($100,000 × 30%)</w:t>
            </w:r>
          </w:p>
        </w:tc>
        <w:tc>
          <w:tcPr>
            <w:tcW w:w="2157"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$ 30,000</w:t>
            </w:r>
          </w:p>
        </w:tc>
      </w:tr>
      <w:tr>
        <w:trPr>
          <w:cantSplit w:val="true"/>
        </w:trPr>
        <w:tc>
          <w:tcPr>
            <w:tcW w:w="102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Deferral of share of intra-entity gross profit (below)</w:t>
            </w:r>
          </w:p>
        </w:tc>
        <w:tc>
          <w:tcPr>
            <w:tcW w:w="2157" w:type="dxa"/>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(5,250)</w:t>
            </w:r>
          </w:p>
        </w:tc>
      </w:tr>
      <w:tr>
        <w:trPr>
          <w:trHeight w:val="15" w:hRule="atLeast"/>
          <w:cantSplit w:val="true"/>
        </w:trPr>
        <w:tc>
          <w:tcPr>
            <w:tcW w:w="102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Amortization (given)</w:t>
            </w:r>
          </w:p>
        </w:tc>
        <w:tc>
          <w:tcPr>
            <w:tcW w:w="2157"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(11,000)</w:t>
            </w:r>
          </w:p>
        </w:tc>
      </w:tr>
      <w:tr>
        <w:trPr>
          <w:trHeight w:val="30" w:hRule="atLeast"/>
          <w:cantSplit w:val="true"/>
        </w:trPr>
        <w:tc>
          <w:tcPr>
            <w:tcW w:w="102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2157"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$ 13,750</w:t>
            </w:r>
          </w:p>
        </w:tc>
      </w:tr>
    </w:tbl>
    <w:tbl>
      <w:tblPr>
        <w:jc w:val="left"/>
        <w:tblInd w:w="360" w:type="dxa"/>
        <w:tblLayout w:type="autofit"/>
      </w:tblPr>
      <w:tr>
        <w:trPr>
          <w:cantSplit w:val="true"/>
        </w:trPr>
        <w:tc>
          <w:tcPr>
            <w:tcW w:w="98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Deferral of its share of intra-entity gross profit:</w:t>
            </w:r>
          </w:p>
        </w:tc>
        <w:tc>
          <w:tcPr>
            <w:tcW w:w="2143" w:type="dxa"/>
            <w:tcBorders/>
            <w:tcMar>
              <w:top w:w="15" w:type="dxa"/>
              <w:left w:w="15" w:type="dxa"/>
              <w:bottom w:w="15" w:type="dxa"/>
              <w:right w:w="150" w:type="dxa"/>
            </w:tcMar>
            <w:vAlign w:val="top"/>
          </w:tcPr>
          <w:p>
            <w:pPr>
              <w:keepNext w:val="true"/>
              <w:keepLines w:val="true"/>
            </w:pPr>
          </w:p>
        </w:tc>
      </w:tr>
      <w:tr>
        <w:trPr>
          <w:cantSplit w:val="true"/>
        </w:trPr>
        <w:tc>
          <w:tcPr>
            <w:tcW w:w="98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Remaining inventory — end of year</w:t>
            </w:r>
          </w:p>
        </w:tc>
        <w:tc>
          <w:tcPr>
            <w:tcW w:w="214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$ 50,000</w:t>
            </w:r>
          </w:p>
        </w:tc>
      </w:tr>
      <w:tr>
        <w:trPr>
          <w:cantSplit w:val="true"/>
        </w:trPr>
        <w:tc>
          <w:tcPr>
            <w:tcW w:w="98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Gross profit percentage ($33,600 ÷ $96,000)</w:t>
            </w:r>
          </w:p>
        </w:tc>
        <w:tc>
          <w:tcPr>
            <w:tcW w:w="2143" w:type="dxa"/>
            <w:tcBorders/>
            <w:tcMar>
              <w:top w:w="15" w:type="dxa"/>
              <w:left w:w="15" w:type="dxa"/>
              <w:bottom w:w="15" w:type="dxa"/>
              <w:right w:w="45" w:type="dxa"/>
            </w:tcMar>
            <w:vAlign w:val="top"/>
          </w:tcPr>
          <w:p>
            <w:pPr>
              <w:keepNext w:val="true"/>
              <w:keepLines w:val="true"/>
              <w:spacing w:after="0"/>
              <w:ind w:left="0"/>
              <w:jc w:val="right"/>
            </w:pPr>
            <w:r>
              <w:rPr>
                <w:rFonts w:ascii="Courier New" w:hAnsi="Courier New"/>
                <w:b w:val="false"/>
                <w:i w:val="false"/>
                <w:color w:val="000000"/>
                <w:sz w:val="22"/>
              </w:rPr>
              <w:t>× 35%</w:t>
            </w:r>
          </w:p>
        </w:tc>
      </w:tr>
      <w:tr>
        <w:trPr>
          <w:cantSplit w:val="true"/>
        </w:trPr>
        <w:tc>
          <w:tcPr>
            <w:tcW w:w="98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Profit within remaining inventory</w:t>
            </w:r>
          </w:p>
        </w:tc>
        <w:tc>
          <w:tcPr>
            <w:tcW w:w="214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$ 17,500</w:t>
            </w:r>
          </w:p>
        </w:tc>
      </w:tr>
      <w:tr>
        <w:trPr>
          <w:trHeight w:val="15" w:hRule="atLeast"/>
          <w:cantSplit w:val="true"/>
        </w:trPr>
        <w:tc>
          <w:tcPr>
            <w:tcW w:w="98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Ownership percentage</w:t>
            </w:r>
          </w:p>
        </w:tc>
        <w:tc>
          <w:tcPr>
            <w:tcW w:w="2143" w:type="dxa"/>
            <w:tcBorders>
              <w:bottom w:val="single" w:color="000000" w:sz="8"/>
            </w:tcBorders>
            <w:tcMar>
              <w:top w:w="15" w:type="dxa"/>
              <w:left w:w="15" w:type="dxa"/>
              <w:bottom w:w="15" w:type="dxa"/>
              <w:right w:w="45" w:type="dxa"/>
            </w:tcMar>
            <w:vAlign w:val="top"/>
          </w:tcPr>
          <w:p>
            <w:pPr>
              <w:keepNext w:val="true"/>
              <w:keepLines w:val="true"/>
              <w:spacing w:after="0"/>
              <w:ind w:left="0"/>
              <w:jc w:val="right"/>
            </w:pPr>
            <w:r>
              <w:rPr>
                <w:rFonts w:ascii="Courier New" w:hAnsi="Courier New"/>
                <w:b w:val="false"/>
                <w:i w:val="false"/>
                <w:color w:val="000000"/>
                <w:sz w:val="22"/>
              </w:rPr>
              <w:t>× 30%</w:t>
            </w:r>
          </w:p>
        </w:tc>
      </w:tr>
      <w:tr>
        <w:trPr>
          <w:trHeight w:val="30" w:hRule="atLeast"/>
          <w:cantSplit w:val="true"/>
        </w:trPr>
        <w:tc>
          <w:tcPr>
            <w:tcW w:w="9857"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Share of intra-entity gross profit</w:t>
            </w:r>
          </w:p>
        </w:tc>
        <w:tc>
          <w:tcPr>
            <w:tcW w:w="2143"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$ 5,250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tbl>
      <w:tblPr>
        <w:jc w:val="left"/>
        <w:tblInd w:w="360" w:type="dxa"/>
        <w:tblLayout w:type="autofit"/>
      </w:tblPr>
      <w:tr>
        <w:trPr>
          <w:cantSplit w:val="true"/>
        </w:trPr>
        <w:tc>
          <w:tcPr>
            <w:tcW w:w="7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Debit</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700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0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144,000</w:t>
            </w:r>
          </w:p>
        </w:tc>
        <w:tc>
          <w:tcPr>
            <w:tcW w:w="2000" w:type="dxa"/>
            <w:tcBorders/>
            <w:tcMar>
              <w:top w:w="15" w:type="dxa"/>
              <w:left w:w="15" w:type="dxa"/>
              <w:bottom w:w="15" w:type="dxa"/>
              <w:right w:w="300" w:type="dxa"/>
            </w:tcMar>
            <w:vAlign w:val="top"/>
          </w:tcPr>
          <w:p>
            <w:pPr>
              <w:keepNext w:val="true"/>
              <w:keepLines w:val="true"/>
            </w:pPr>
          </w:p>
        </w:tc>
      </w:tr>
      <w:tr>
        <w:trPr>
          <w:cantSplit w:val="true"/>
        </w:trPr>
        <w:tc>
          <w:tcPr>
            <w:tcW w:w="700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Loss on Sale of Investment</w:t>
            </w:r>
          </w:p>
        </w:tc>
        <w:tc>
          <w:tcPr>
            <w:tcW w:w="200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11,000</w:t>
            </w:r>
          </w:p>
        </w:tc>
        <w:tc>
          <w:tcPr>
            <w:tcW w:w="2000" w:type="dxa"/>
            <w:tcBorders/>
            <w:tcMar>
              <w:top w:w="15" w:type="dxa"/>
              <w:left w:w="15" w:type="dxa"/>
              <w:bottom w:w="15" w:type="dxa"/>
              <w:right w:w="300" w:type="dxa"/>
            </w:tcMar>
            <w:vAlign w:val="top"/>
          </w:tcPr>
          <w:p>
            <w:pPr>
              <w:keepNext w:val="true"/>
              <w:keepLines w:val="true"/>
            </w:pPr>
          </w:p>
        </w:tc>
      </w:tr>
      <w:tr>
        <w:trPr>
          <w:cantSplit w:val="true"/>
        </w:trPr>
        <w:tc>
          <w:tcPr>
            <w:tcW w:w="700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Oliver</w:t>
            </w:r>
          </w:p>
        </w:tc>
        <w:tc>
          <w:tcPr>
            <w:tcW w:w="2000" w:type="dxa"/>
            <w:tcBorders/>
            <w:tcMar>
              <w:top w:w="15" w:type="dxa"/>
              <w:left w:w="15" w:type="dxa"/>
              <w:bottom w:w="15" w:type="dxa"/>
              <w:right w:w="300" w:type="dxa"/>
            </w:tcMar>
            <w:vAlign w:val="top"/>
          </w:tcPr>
          <w:p>
            <w:pPr>
              <w:keepNext w:val="true"/>
              <w:keepLines w:val="true"/>
            </w:pPr>
          </w:p>
        </w:tc>
        <w:tc>
          <w:tcPr>
            <w:tcW w:w="200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155,000</w:t>
            </w:r>
          </w:p>
        </w:tc>
      </w:tr>
    </w:tbl>
    <w:p>
      <w:pPr>
        <w:keepNext w:val="true"/>
        <w:keepLines w:val="true"/>
        <w:spacing w:after="0"/>
        <w:jc w:val="left"/>
      </w:pPr>
    </w:p>
    <w:tbl>
      <w:tblPr>
        <w:jc w:val="left"/>
        <w:tblInd w:w="360" w:type="dxa"/>
        <w:tblLayout w:type="autofit"/>
      </w:tblPr>
      <w:tr>
        <w:trPr>
          <w:cantSplit w:val="true"/>
        </w:trPr>
        <w:tc>
          <w:tcPr>
            <w:tcW w:w="650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48,000 shares =</w:t>
            </w:r>
          </w:p>
        </w:tc>
        <w:tc>
          <w:tcPr>
            <w:tcW w:w="1492"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24%</w:t>
            </w:r>
          </w:p>
        </w:tc>
      </w:tr>
      <w:tr>
        <w:trPr>
          <w:trHeight w:val="15" w:hRule="atLeast"/>
          <w:cantSplit w:val="true"/>
        </w:trPr>
        <w:tc>
          <w:tcPr>
            <w:tcW w:w="650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Sell 1/4 of investment</w:t>
            </w:r>
          </w:p>
        </w:tc>
        <w:tc>
          <w:tcPr>
            <w:tcW w:w="1492"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(6)%</w:t>
            </w:r>
          </w:p>
        </w:tc>
      </w:tr>
      <w:tr>
        <w:trPr>
          <w:trHeight w:val="30" w:hRule="atLeast"/>
          <w:cantSplit w:val="true"/>
        </w:trPr>
        <w:tc>
          <w:tcPr>
            <w:tcW w:w="650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Remaining ownership of Oliver</w:t>
            </w:r>
          </w:p>
        </w:tc>
        <w:tc>
          <w:tcPr>
            <w:tcW w:w="1492"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18%</w:t>
            </w:r>
          </w:p>
        </w:tc>
      </w:tr>
    </w:tbl>
    <w:p>
      <w:pPr>
        <w:keepNext w:val="true"/>
        <w:keepLines w:val="true"/>
        <w:spacing w:after="0"/>
        <w:ind w:left="360"/>
        <w:jc w:val="left"/>
      </w:pPr>
    </w:p>
    <w:tbl>
      <w:tblPr>
        <w:jc w:val="left"/>
        <w:tblInd w:w="360" w:type="dxa"/>
        <w:tblLayout w:type="autofit"/>
      </w:tblPr>
      <w:tr>
        <w:trPr>
          <w:cantSplit w:val="true"/>
        </w:trPr>
        <w:tc>
          <w:tcPr>
            <w:tcW w:w="5000" w:type="dxa"/>
            <w:tcBorders/>
            <w:tcMar>
              <w:top w:w="15" w:type="dxa"/>
              <w:left w:w="15" w:type="dxa"/>
              <w:bottom w:w="15" w:type="dxa"/>
              <w:right w:w="15" w:type="dxa"/>
            </w:tcMar>
            <w:vAlign w:val="top"/>
          </w:tcPr>
          <w:p>
            <w:pPr>
              <w:keepNext w:val="true"/>
              <w:keepLines w:val="true"/>
            </w:pP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Debit</w:t>
            </w:r>
          </w:p>
        </w:tc>
        <w:tc>
          <w:tcPr>
            <w:tcW w:w="200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Credit</w:t>
            </w:r>
          </w:p>
        </w:tc>
      </w:tr>
      <w:tr>
        <w:trPr>
          <w:cantSplit w:val="true"/>
        </w:trPr>
        <w:tc>
          <w:tcPr>
            <w:tcW w:w="500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200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5,400</w:t>
            </w:r>
          </w:p>
        </w:tc>
        <w:tc>
          <w:tcPr>
            <w:tcW w:w="2000" w:type="dxa"/>
            <w:tcBorders/>
            <w:tcMar>
              <w:top w:w="15" w:type="dxa"/>
              <w:left w:w="15" w:type="dxa"/>
              <w:bottom w:w="15" w:type="dxa"/>
              <w:right w:w="300" w:type="dxa"/>
            </w:tcMar>
            <w:vAlign w:val="top"/>
          </w:tcPr>
          <w:p>
            <w:pPr>
              <w:keepNext w:val="true"/>
              <w:keepLines w:val="true"/>
            </w:pPr>
          </w:p>
        </w:tc>
      </w:tr>
      <w:tr>
        <w:trPr>
          <w:cantSplit w:val="true"/>
        </w:trPr>
        <w:tc>
          <w:tcPr>
            <w:tcW w:w="5000"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Dividend Revenue</w:t>
            </w:r>
          </w:p>
        </w:tc>
        <w:tc>
          <w:tcPr>
            <w:tcW w:w="2000" w:type="dxa"/>
            <w:tcBorders/>
            <w:tcMar>
              <w:top w:w="15" w:type="dxa"/>
              <w:left w:w="15" w:type="dxa"/>
              <w:bottom w:w="15" w:type="dxa"/>
              <w:right w:w="300" w:type="dxa"/>
            </w:tcMar>
            <w:vAlign w:val="top"/>
          </w:tcPr>
          <w:p>
            <w:pPr>
              <w:keepNext w:val="true"/>
              <w:keepLines w:val="true"/>
            </w:pPr>
          </w:p>
        </w:tc>
        <w:tc>
          <w:tcPr>
            <w:tcW w:w="200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5,400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Required journal entries:</w:t>
      </w:r>
      <w:r>
        <w:rPr>
          <w:rFonts w:ascii="Times New Roman"/>
          <w:sz w:val="24"/>
        </w:rPr>
      </w:r>
    </w:p>
    <w:tbl>
      <w:tblPr>
        <w:jc w:val="left"/>
        <w:tblInd w:w="360" w:type="dxa"/>
        <w:tblLayout w:type="autofit"/>
      </w:tblPr>
      <w:tr>
        <w:trPr>
          <w:cantSplit w:val="true"/>
        </w:trPr>
        <w:tc>
          <w:tcPr>
            <w:tcW w:w="5952" w:type="dxa"/>
            <w:tcBorders/>
            <w:tcMar>
              <w:top w:w="15" w:type="dxa"/>
              <w:left w:w="225" w:type="dxa"/>
              <w:bottom w:w="15" w:type="dxa"/>
              <w:right w:w="15" w:type="dxa"/>
            </w:tcMar>
            <w:vAlign w:val="top"/>
          </w:tcPr>
          <w:p>
            <w:pPr>
              <w:keepNext w:val="true"/>
              <w:keepLines w:val="true"/>
            </w:pPr>
          </w:p>
        </w:tc>
        <w:tc>
          <w:tcPr>
            <w:tcW w:w="193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18"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595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Wonder</w:t>
            </w:r>
          </w:p>
        </w:tc>
        <w:tc>
          <w:tcPr>
            <w:tcW w:w="193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250,000</w:t>
            </w:r>
          </w:p>
        </w:tc>
        <w:tc>
          <w:tcPr>
            <w:tcW w:w="2118" w:type="dxa"/>
            <w:tcBorders/>
            <w:tcMar>
              <w:top w:w="15" w:type="dxa"/>
              <w:left w:w="15" w:type="dxa"/>
              <w:bottom w:w="15" w:type="dxa"/>
              <w:right w:w="15" w:type="dxa"/>
            </w:tcMar>
            <w:vAlign w:val="top"/>
          </w:tcPr>
          <w:p>
            <w:pPr>
              <w:keepNext w:val="true"/>
              <w:keepLines w:val="true"/>
            </w:pPr>
          </w:p>
        </w:tc>
      </w:tr>
      <w:tr>
        <w:trPr>
          <w:cantSplit w:val="true"/>
        </w:trPr>
        <w:tc>
          <w:tcPr>
            <w:tcW w:w="5952"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30" w:type="dxa"/>
            <w:tcBorders/>
            <w:tcMar>
              <w:top w:w="15" w:type="dxa"/>
              <w:left w:w="15" w:type="dxa"/>
              <w:bottom w:w="15" w:type="dxa"/>
              <w:right w:w="15" w:type="dxa"/>
            </w:tcMar>
            <w:vAlign w:val="top"/>
          </w:tcPr>
          <w:p>
            <w:pPr>
              <w:keepNext w:val="true"/>
              <w:keepLines w:val="true"/>
            </w:pPr>
          </w:p>
        </w:tc>
        <w:tc>
          <w:tcPr>
            <w:tcW w:w="2118"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250,000</w:t>
            </w:r>
          </w:p>
        </w:tc>
      </w:tr>
    </w:tbl>
    <w:p>
      <w:pPr>
        <w:keepNext w:val="true"/>
        <w:keepLines w:val="true"/>
        <w:spacing w:after="0"/>
        <w:ind w:left="360"/>
        <w:jc w:val="left"/>
      </w:pPr>
      <w:r>
        <w:rPr>
          <w:rFonts w:ascii="Times New Roman"/>
          <w:b w:val="false"/>
          <w:i w:val="false"/>
          <w:color w:val="000000"/>
          <w:sz w:val="24"/>
        </w:rPr>
        <w:t>To record the initial investment in Wonder.</w:t>
      </w:r>
      <w:r>
        <w:rPr>
          <w:rFonts w:ascii="Times New Roman"/>
          <w:sz w:val="24"/>
        </w:rPr>
      </w:r>
    </w:p>
    <w:tbl>
      <w:tblPr>
        <w:jc w:val="left"/>
        <w:tblInd w:w="360" w:type="dxa"/>
        <w:tblLayout w:type="autofit"/>
      </w:tblPr>
      <w:tr>
        <w:trPr>
          <w:cantSplit w:val="true"/>
        </w:trPr>
        <w:tc>
          <w:tcPr>
            <w:tcW w:w="6946" w:type="dxa"/>
            <w:tcBorders/>
            <w:tcMar>
              <w:top w:w="15" w:type="dxa"/>
              <w:left w:w="225" w:type="dxa"/>
              <w:bottom w:w="15" w:type="dxa"/>
              <w:right w:w="15" w:type="dxa"/>
            </w:tcMar>
            <w:vAlign w:val="top"/>
          </w:tcPr>
          <w:p>
            <w:pPr>
              <w:keepNext w:val="true"/>
              <w:keepLines w:val="true"/>
            </w:pPr>
          </w:p>
        </w:tc>
        <w:tc>
          <w:tcPr>
            <w:tcW w:w="1927"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27"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4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Investor Cost of Intra-Entity Inventory</w:t>
            </w:r>
          </w:p>
        </w:tc>
        <w:tc>
          <w:tcPr>
            <w:tcW w:w="192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90,000</w:t>
            </w:r>
          </w:p>
        </w:tc>
        <w:tc>
          <w:tcPr>
            <w:tcW w:w="2127" w:type="dxa"/>
            <w:tcBorders/>
            <w:tcMar>
              <w:top w:w="15" w:type="dxa"/>
              <w:left w:w="15" w:type="dxa"/>
              <w:bottom w:w="15" w:type="dxa"/>
              <w:right w:w="15" w:type="dxa"/>
            </w:tcMar>
            <w:vAlign w:val="top"/>
          </w:tcPr>
          <w:p>
            <w:pPr>
              <w:keepNext w:val="true"/>
              <w:keepLines w:val="true"/>
            </w:pPr>
          </w:p>
        </w:tc>
      </w:tr>
      <w:tr>
        <w:trPr>
          <w:cantSplit w:val="true"/>
        </w:trPr>
        <w:tc>
          <w:tcPr>
            <w:tcW w:w="6946"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27" w:type="dxa"/>
            <w:tcBorders/>
            <w:tcMar>
              <w:top w:w="15" w:type="dxa"/>
              <w:left w:w="15" w:type="dxa"/>
              <w:bottom w:w="15" w:type="dxa"/>
              <w:right w:w="15" w:type="dxa"/>
            </w:tcMar>
            <w:vAlign w:val="top"/>
          </w:tcPr>
          <w:p>
            <w:pPr>
              <w:keepNext w:val="true"/>
              <w:keepLines w:val="true"/>
            </w:pPr>
          </w:p>
        </w:tc>
        <w:tc>
          <w:tcPr>
            <w:tcW w:w="212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90,000</w:t>
            </w:r>
          </w:p>
        </w:tc>
      </w:tr>
    </w:tbl>
    <w:p>
      <w:pPr>
        <w:keepNext w:val="true"/>
        <w:keepLines w:val="true"/>
        <w:spacing w:after="0"/>
        <w:ind w:left="360"/>
        <w:jc w:val="left"/>
      </w:pPr>
      <w:r>
        <w:rPr>
          <w:rFonts w:ascii="Times New Roman"/>
          <w:b w:val="false"/>
          <w:i w:val="false"/>
          <w:color w:val="000000"/>
          <w:sz w:val="24"/>
        </w:rPr>
        <w:t>To record the purchase of inventory from Wonder.</w:t>
      </w:r>
      <w:r>
        <w:rPr>
          <w:rFonts w:ascii="Times New Roman"/>
          <w:sz w:val="24"/>
        </w:rPr>
      </w:r>
    </w:p>
    <w:tbl>
      <w:tblPr>
        <w:jc w:val="left"/>
        <w:tblInd w:w="360" w:type="dxa"/>
        <w:tblLayout w:type="autofit"/>
      </w:tblPr>
      <w:tr>
        <w:trPr>
          <w:cantSplit w:val="true"/>
        </w:trPr>
        <w:tc>
          <w:tcPr>
            <w:tcW w:w="5939" w:type="dxa"/>
            <w:tcBorders/>
            <w:tcMar>
              <w:top w:w="15" w:type="dxa"/>
              <w:left w:w="225" w:type="dxa"/>
              <w:bottom w:w="15" w:type="dxa"/>
              <w:right w:w="15" w:type="dxa"/>
            </w:tcMar>
            <w:vAlign w:val="top"/>
          </w:tcPr>
          <w:p>
            <w:pPr>
              <w:keepNext w:val="true"/>
              <w:keepLines w:val="true"/>
            </w:pPr>
          </w:p>
        </w:tc>
        <w:tc>
          <w:tcPr>
            <w:tcW w:w="1914"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47"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593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Wonder</w:t>
            </w:r>
          </w:p>
        </w:tc>
        <w:tc>
          <w:tcPr>
            <w:tcW w:w="1914"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50,000</w:t>
            </w:r>
          </w:p>
        </w:tc>
        <w:tc>
          <w:tcPr>
            <w:tcW w:w="2147" w:type="dxa"/>
            <w:tcBorders/>
            <w:tcMar>
              <w:top w:w="15" w:type="dxa"/>
              <w:left w:w="15" w:type="dxa"/>
              <w:bottom w:w="15" w:type="dxa"/>
              <w:right w:w="300" w:type="dxa"/>
            </w:tcMar>
            <w:vAlign w:val="top"/>
          </w:tcPr>
          <w:p>
            <w:pPr>
              <w:keepNext w:val="true"/>
              <w:keepLines w:val="true"/>
            </w:pPr>
          </w:p>
        </w:tc>
      </w:tr>
      <w:tr>
        <w:trPr>
          <w:cantSplit w:val="true"/>
        </w:trPr>
        <w:tc>
          <w:tcPr>
            <w:tcW w:w="5939"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Wonder Income</w:t>
            </w:r>
          </w:p>
        </w:tc>
        <w:tc>
          <w:tcPr>
            <w:tcW w:w="1914" w:type="dxa"/>
            <w:tcBorders/>
            <w:tcMar>
              <w:top w:w="15" w:type="dxa"/>
              <w:left w:w="15" w:type="dxa"/>
              <w:bottom w:w="15" w:type="dxa"/>
              <w:right w:w="15" w:type="dxa"/>
            </w:tcMar>
            <w:vAlign w:val="top"/>
          </w:tcPr>
          <w:p>
            <w:pPr>
              <w:keepNext w:val="true"/>
              <w:keepLines w:val="true"/>
            </w:pPr>
          </w:p>
        </w:tc>
        <w:tc>
          <w:tcPr>
            <w:tcW w:w="2147"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41,250</w:t>
            </w:r>
          </w:p>
        </w:tc>
      </w:tr>
      <w:tr>
        <w:trPr>
          <w:cantSplit w:val="true"/>
        </w:trPr>
        <w:tc>
          <w:tcPr>
            <w:tcW w:w="5939"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Gain of Wonder</w:t>
            </w:r>
          </w:p>
        </w:tc>
        <w:tc>
          <w:tcPr>
            <w:tcW w:w="1914" w:type="dxa"/>
            <w:tcBorders/>
            <w:tcMar>
              <w:top w:w="15" w:type="dxa"/>
              <w:left w:w="15" w:type="dxa"/>
              <w:bottom w:w="15" w:type="dxa"/>
              <w:right w:w="15" w:type="dxa"/>
            </w:tcMar>
            <w:vAlign w:val="top"/>
          </w:tcPr>
          <w:p>
            <w:pPr>
              <w:keepNext w:val="true"/>
              <w:keepLines w:val="true"/>
            </w:pPr>
          </w:p>
        </w:tc>
        <w:tc>
          <w:tcPr>
            <w:tcW w:w="2147"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8,750</w:t>
            </w:r>
          </w:p>
        </w:tc>
      </w:tr>
    </w:tbl>
    <w:p>
      <w:pPr>
        <w:keepNext w:val="true"/>
        <w:keepLines w:val="true"/>
        <w:spacing w:after="0"/>
        <w:ind w:left="360"/>
        <w:jc w:val="left"/>
      </w:pPr>
      <w:r>
        <w:rPr>
          <w:rFonts w:ascii="Times New Roman"/>
          <w:b w:val="false"/>
          <w:i w:val="false"/>
          <w:color w:val="000000"/>
          <w:sz w:val="24"/>
        </w:rPr>
        <w:t>To record share of Wonder income.</w:t>
      </w:r>
      <w:r>
        <w:rPr>
          <w:rFonts w:ascii="Times New Roman"/>
          <w:sz w:val="24"/>
        </w:rPr>
      </w:r>
    </w:p>
    <w:tbl>
      <w:tblPr>
        <w:jc w:val="left"/>
        <w:tblInd w:w="360" w:type="dxa"/>
        <w:tblLayout w:type="autofit"/>
      </w:tblPr>
      <w:tr>
        <w:trPr>
          <w:cantSplit w:val="true"/>
        </w:trPr>
        <w:tc>
          <w:tcPr>
            <w:tcW w:w="5946" w:type="dxa"/>
            <w:tcBorders/>
            <w:tcMar>
              <w:top w:w="15" w:type="dxa"/>
              <w:left w:w="225" w:type="dxa"/>
              <w:bottom w:w="15" w:type="dxa"/>
              <w:right w:w="15" w:type="dxa"/>
            </w:tcMar>
            <w:vAlign w:val="top"/>
          </w:tcPr>
          <w:p>
            <w:pPr>
              <w:keepNext w:val="true"/>
              <w:keepLines w:val="true"/>
            </w:pPr>
          </w:p>
        </w:tc>
        <w:tc>
          <w:tcPr>
            <w:tcW w:w="1910"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44"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594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10"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10,000</w:t>
            </w:r>
          </w:p>
        </w:tc>
        <w:tc>
          <w:tcPr>
            <w:tcW w:w="2144" w:type="dxa"/>
            <w:tcBorders/>
            <w:tcMar>
              <w:top w:w="15" w:type="dxa"/>
              <w:left w:w="15" w:type="dxa"/>
              <w:bottom w:w="15" w:type="dxa"/>
              <w:right w:w="300" w:type="dxa"/>
            </w:tcMar>
            <w:vAlign w:val="top"/>
          </w:tcPr>
          <w:p>
            <w:pPr>
              <w:keepNext w:val="true"/>
              <w:keepLines w:val="true"/>
            </w:pPr>
          </w:p>
        </w:tc>
      </w:tr>
      <w:tr>
        <w:trPr>
          <w:cantSplit w:val="true"/>
        </w:trPr>
        <w:tc>
          <w:tcPr>
            <w:tcW w:w="5946"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Wonder</w:t>
            </w:r>
          </w:p>
        </w:tc>
        <w:tc>
          <w:tcPr>
            <w:tcW w:w="1910" w:type="dxa"/>
            <w:tcBorders/>
            <w:tcMar>
              <w:top w:w="15" w:type="dxa"/>
              <w:left w:w="15" w:type="dxa"/>
              <w:bottom w:w="15" w:type="dxa"/>
              <w:right w:w="15" w:type="dxa"/>
            </w:tcMar>
            <w:vAlign w:val="top"/>
          </w:tcPr>
          <w:p>
            <w:pPr>
              <w:keepNext w:val="true"/>
              <w:keepLines w:val="true"/>
            </w:pPr>
          </w:p>
        </w:tc>
        <w:tc>
          <w:tcPr>
            <w:tcW w:w="2144"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10,000</w:t>
            </w:r>
          </w:p>
        </w:tc>
      </w:tr>
    </w:tbl>
    <w:p>
      <w:pPr>
        <w:keepNext w:val="true"/>
        <w:keepLines w:val="true"/>
        <w:spacing w:after="0"/>
        <w:ind w:left="360"/>
        <w:jc w:val="left"/>
      </w:pPr>
      <w:r>
        <w:rPr>
          <w:rFonts w:ascii="Times New Roman"/>
          <w:b w:val="false"/>
          <w:i w:val="false"/>
          <w:color w:val="000000"/>
          <w:sz w:val="24"/>
        </w:rPr>
        <w:t>To record the receipt of dividend.</w:t>
      </w:r>
      <w:r>
        <w:rPr>
          <w:rFonts w:ascii="Times New Roman"/>
          <w:sz w:val="24"/>
        </w:rPr>
      </w:r>
    </w:p>
    <w:tbl>
      <w:tblPr>
        <w:jc w:val="left"/>
        <w:tblInd w:w="360" w:type="dxa"/>
        <w:tblLayout w:type="autofit"/>
      </w:tblPr>
      <w:tr>
        <w:trPr>
          <w:cantSplit w:val="true"/>
        </w:trPr>
        <w:tc>
          <w:tcPr>
            <w:tcW w:w="5964" w:type="dxa"/>
            <w:tcBorders/>
            <w:tcMar>
              <w:top w:w="15" w:type="dxa"/>
              <w:left w:w="225" w:type="dxa"/>
              <w:bottom w:w="15" w:type="dxa"/>
              <w:right w:w="15" w:type="dxa"/>
            </w:tcMar>
            <w:vAlign w:val="top"/>
          </w:tcPr>
          <w:p>
            <w:pPr>
              <w:keepNext w:val="true"/>
              <w:keepLines w:val="true"/>
            </w:pPr>
          </w:p>
        </w:tc>
        <w:tc>
          <w:tcPr>
            <w:tcW w:w="1902"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34"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596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Wonder Income</w:t>
            </w:r>
          </w:p>
        </w:tc>
        <w:tc>
          <w:tcPr>
            <w:tcW w:w="1902"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1,875</w:t>
            </w:r>
          </w:p>
        </w:tc>
        <w:tc>
          <w:tcPr>
            <w:tcW w:w="2134" w:type="dxa"/>
            <w:tcBorders/>
            <w:tcMar>
              <w:top w:w="15" w:type="dxa"/>
              <w:left w:w="15" w:type="dxa"/>
              <w:bottom w:w="15" w:type="dxa"/>
              <w:right w:w="300" w:type="dxa"/>
            </w:tcMar>
            <w:vAlign w:val="top"/>
          </w:tcPr>
          <w:p>
            <w:pPr>
              <w:keepNext w:val="true"/>
              <w:keepLines w:val="true"/>
            </w:pPr>
          </w:p>
        </w:tc>
      </w:tr>
      <w:tr>
        <w:trPr>
          <w:cantSplit w:val="true"/>
        </w:trPr>
        <w:tc>
          <w:tcPr>
            <w:tcW w:w="596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Wonder</w:t>
            </w:r>
          </w:p>
        </w:tc>
        <w:tc>
          <w:tcPr>
            <w:tcW w:w="1902" w:type="dxa"/>
            <w:tcBorders/>
            <w:tcMar>
              <w:top w:w="15" w:type="dxa"/>
              <w:left w:w="15" w:type="dxa"/>
              <w:bottom w:w="15" w:type="dxa"/>
              <w:right w:w="15" w:type="dxa"/>
            </w:tcMar>
            <w:vAlign w:val="top"/>
          </w:tcPr>
          <w:p>
            <w:pPr>
              <w:keepNext w:val="true"/>
              <w:keepLines w:val="true"/>
            </w:pPr>
          </w:p>
        </w:tc>
        <w:tc>
          <w:tcPr>
            <w:tcW w:w="2134"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1,875</w:t>
            </w:r>
          </w:p>
        </w:tc>
      </w:tr>
    </w:tbl>
    <w:p>
      <w:pPr>
        <w:keepNext w:val="true"/>
        <w:keepLines w:val="true"/>
        <w:spacing w:after="0"/>
        <w:ind w:left="360"/>
        <w:jc w:val="left"/>
      </w:pPr>
      <w:r>
        <w:rPr>
          <w:rFonts w:ascii="Times New Roman"/>
          <w:b w:val="false"/>
          <w:i w:val="false"/>
          <w:color w:val="000000"/>
          <w:sz w:val="24"/>
        </w:rPr>
        <w:t>To record amortizations.</w:t>
      </w:r>
      <w:r>
        <w:rPr>
          <w:rFonts w:ascii="Times New Roman"/>
          <w:sz w:val="24"/>
        </w:rPr>
      </w:r>
    </w:p>
    <w:tbl>
      <w:tblPr>
        <w:jc w:val="left"/>
        <w:tblInd w:w="360" w:type="dxa"/>
        <w:tblLayout w:type="autofit"/>
      </w:tblPr>
      <w:tr>
        <w:trPr>
          <w:cantSplit w:val="true"/>
        </w:trPr>
        <w:tc>
          <w:tcPr>
            <w:tcW w:w="5964" w:type="dxa"/>
            <w:tcBorders/>
            <w:tcMar>
              <w:top w:w="15" w:type="dxa"/>
              <w:left w:w="225" w:type="dxa"/>
              <w:bottom w:w="15" w:type="dxa"/>
              <w:right w:w="15" w:type="dxa"/>
            </w:tcMar>
            <w:vAlign w:val="top"/>
          </w:tcPr>
          <w:p>
            <w:pPr>
              <w:keepNext w:val="true"/>
              <w:keepLines w:val="true"/>
            </w:pPr>
          </w:p>
        </w:tc>
        <w:tc>
          <w:tcPr>
            <w:tcW w:w="1902"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34"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596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Wonder Income</w:t>
            </w:r>
          </w:p>
        </w:tc>
        <w:tc>
          <w:tcPr>
            <w:tcW w:w="1902"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2,750</w:t>
            </w:r>
          </w:p>
        </w:tc>
        <w:tc>
          <w:tcPr>
            <w:tcW w:w="2134" w:type="dxa"/>
            <w:tcBorders/>
            <w:tcMar>
              <w:top w:w="15" w:type="dxa"/>
              <w:left w:w="15" w:type="dxa"/>
              <w:bottom w:w="15" w:type="dxa"/>
              <w:right w:w="300" w:type="dxa"/>
            </w:tcMar>
            <w:vAlign w:val="top"/>
          </w:tcPr>
          <w:p>
            <w:pPr>
              <w:keepNext w:val="true"/>
              <w:keepLines w:val="true"/>
            </w:pPr>
          </w:p>
        </w:tc>
      </w:tr>
      <w:tr>
        <w:trPr>
          <w:cantSplit w:val="true"/>
        </w:trPr>
        <w:tc>
          <w:tcPr>
            <w:tcW w:w="596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Wonder</w:t>
            </w:r>
          </w:p>
        </w:tc>
        <w:tc>
          <w:tcPr>
            <w:tcW w:w="1902" w:type="dxa"/>
            <w:tcBorders/>
            <w:tcMar>
              <w:top w:w="15" w:type="dxa"/>
              <w:left w:w="15" w:type="dxa"/>
              <w:bottom w:w="15" w:type="dxa"/>
              <w:right w:w="15" w:type="dxa"/>
            </w:tcMar>
            <w:vAlign w:val="top"/>
          </w:tcPr>
          <w:p>
            <w:pPr>
              <w:keepNext w:val="true"/>
              <w:keepLines w:val="true"/>
            </w:pPr>
          </w:p>
        </w:tc>
        <w:tc>
          <w:tcPr>
            <w:tcW w:w="2134"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2,750</w:t>
            </w:r>
          </w:p>
        </w:tc>
      </w:tr>
    </w:tbl>
    <w:p>
      <w:pPr>
        <w:keepNext w:val="true"/>
        <w:keepLines w:val="true"/>
        <w:spacing w:after="0"/>
        <w:ind w:left="360"/>
        <w:jc w:val="left"/>
      </w:pPr>
      <w:r>
        <w:rPr>
          <w:rFonts w:ascii="Times New Roman"/>
          <w:b w:val="false"/>
          <w:i w:val="false"/>
          <w:color w:val="000000"/>
          <w:sz w:val="24"/>
        </w:rPr>
        <w:t>To defer its share of gross profit on intra-entity sales.</w:t>
      </w:r>
      <w:r>
        <w:rPr>
          <w:rFonts w:ascii="Times New Roman"/>
          <w:sz w:val="24"/>
        </w:rPr>
      </w:r>
    </w:p>
    <w:tbl>
      <w:tblPr>
        <w:jc w:val="left"/>
        <w:tblInd w:w="360" w:type="dxa"/>
        <w:tblLayout w:type="autofit"/>
      </w:tblPr>
      <w:tr>
        <w:trPr>
          <w:cantSplit w:val="true"/>
        </w:trPr>
        <w:tc>
          <w:tcPr>
            <w:tcW w:w="926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Calculation of equity in Wonder income:</w:t>
            </w:r>
          </w:p>
        </w:tc>
        <w:tc>
          <w:tcPr>
            <w:tcW w:w="2136" w:type="dxa"/>
            <w:tcBorders/>
            <w:tcMar>
              <w:top w:w="15" w:type="dxa"/>
              <w:left w:w="15" w:type="dxa"/>
              <w:bottom w:w="15" w:type="dxa"/>
              <w:right w:w="150" w:type="dxa"/>
            </w:tcMar>
            <w:vAlign w:val="top"/>
          </w:tcPr>
          <w:p>
            <w:pPr>
              <w:keepNext w:val="true"/>
              <w:keepLines w:val="true"/>
            </w:pPr>
          </w:p>
        </w:tc>
      </w:tr>
      <w:tr>
        <w:trPr>
          <w:trHeight w:val="30" w:hRule="atLeast"/>
          <w:cantSplit w:val="true"/>
        </w:trPr>
        <w:tc>
          <w:tcPr>
            <w:tcW w:w="926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($200,000 − $35,000) × 25%</w:t>
            </w:r>
          </w:p>
        </w:tc>
        <w:tc>
          <w:tcPr>
            <w:tcW w:w="2136"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$ 41,250</w:t>
            </w:r>
          </w:p>
        </w:tc>
      </w:tr>
      <w:tr>
        <w:trPr>
          <w:cantSplit w:val="true"/>
        </w:trPr>
        <w:tc>
          <w:tcPr>
            <w:tcW w:w="926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Calculation of unusual gain of Wonder:</w:t>
            </w:r>
          </w:p>
        </w:tc>
        <w:tc>
          <w:tcPr>
            <w:tcW w:w="2136" w:type="dxa"/>
            <w:tcBorders/>
            <w:tcMar>
              <w:top w:w="15" w:type="dxa"/>
              <w:left w:w="15" w:type="dxa"/>
              <w:bottom w:w="15" w:type="dxa"/>
              <w:right w:w="150" w:type="dxa"/>
            </w:tcMar>
            <w:vAlign w:val="top"/>
          </w:tcPr>
          <w:p>
            <w:pPr>
              <w:keepNext w:val="true"/>
              <w:keepLines w:val="true"/>
            </w:pPr>
          </w:p>
        </w:tc>
      </w:tr>
      <w:tr>
        <w:trPr>
          <w:trHeight w:val="30" w:hRule="atLeast"/>
          <w:cantSplit w:val="true"/>
        </w:trPr>
        <w:tc>
          <w:tcPr>
            <w:tcW w:w="926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$35,000 × 25%</w:t>
            </w:r>
          </w:p>
        </w:tc>
        <w:tc>
          <w:tcPr>
            <w:tcW w:w="2136"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$ 8,750</w:t>
            </w:r>
          </w:p>
        </w:tc>
      </w:tr>
      <w:tr>
        <w:trPr>
          <w:cantSplit w:val="true"/>
        </w:trPr>
        <w:tc>
          <w:tcPr>
            <w:tcW w:w="926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Calculation of amortizations:</w:t>
            </w:r>
          </w:p>
        </w:tc>
        <w:tc>
          <w:tcPr>
            <w:tcW w:w="2136" w:type="dxa"/>
            <w:tcBorders/>
            <w:tcMar>
              <w:top w:w="15" w:type="dxa"/>
              <w:left w:w="15" w:type="dxa"/>
              <w:bottom w:w="15" w:type="dxa"/>
              <w:right w:w="150" w:type="dxa"/>
            </w:tcMar>
            <w:vAlign w:val="top"/>
          </w:tcPr>
          <w:p>
            <w:pPr>
              <w:keepNext w:val="true"/>
              <w:keepLines w:val="true"/>
            </w:pPr>
          </w:p>
        </w:tc>
      </w:tr>
      <w:tr>
        <w:trPr>
          <w:cantSplit w:val="true"/>
        </w:trPr>
        <w:tc>
          <w:tcPr>
            <w:tcW w:w="926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 [($220,000 − $160,000) ÷ 20] × 25%)</w:t>
            </w:r>
          </w:p>
        </w:tc>
        <w:tc>
          <w:tcPr>
            <w:tcW w:w="213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$ 750</w:t>
            </w:r>
          </w:p>
        </w:tc>
      </w:tr>
      <w:tr>
        <w:trPr>
          <w:trHeight w:val="15" w:hRule="atLeast"/>
          <w:cantSplit w:val="true"/>
        </w:trPr>
        <w:tc>
          <w:tcPr>
            <w:tcW w:w="926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Trademark [($90,000 × 25%) ÷ 20]</w:t>
            </w:r>
          </w:p>
        </w:tc>
        <w:tc>
          <w:tcPr>
            <w:tcW w:w="2136"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1,125</w:t>
            </w:r>
          </w:p>
        </w:tc>
      </w:tr>
      <w:tr>
        <w:trPr>
          <w:trHeight w:val="30" w:hRule="atLeast"/>
          <w:cantSplit w:val="true"/>
        </w:trPr>
        <w:tc>
          <w:tcPr>
            <w:tcW w:w="926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w:t>
            </w:r>
          </w:p>
        </w:tc>
        <w:tc>
          <w:tcPr>
            <w:tcW w:w="2136"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$ 1,875</w:t>
            </w:r>
          </w:p>
        </w:tc>
      </w:tr>
    </w:tbl>
    <w:tbl>
      <w:tblPr>
        <w:jc w:val="left"/>
        <w:tblInd w:w="360" w:type="dxa"/>
        <w:tblLayout w:type="autofit"/>
      </w:tblPr>
      <w:tr>
        <w:trPr>
          <w:cantSplit w:val="true"/>
        </w:trPr>
        <w:tc>
          <w:tcPr>
            <w:tcW w:w="12457"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Calculation of deferred gross profit on intra-entity inventory sales:</w:t>
            </w:r>
          </w:p>
        </w:tc>
        <w:tc>
          <w:tcPr>
            <w:tcW w:w="2143" w:type="dxa"/>
            <w:tcBorders/>
            <w:tcMar>
              <w:top w:w="15" w:type="dxa"/>
              <w:left w:w="15" w:type="dxa"/>
              <w:bottom w:w="15" w:type="dxa"/>
              <w:right w:w="150" w:type="dxa"/>
            </w:tcMar>
            <w:vAlign w:val="top"/>
          </w:tcPr>
          <w:p>
            <w:pPr>
              <w:keepNext w:val="true"/>
              <w:keepLines w:val="true"/>
            </w:pPr>
          </w:p>
        </w:tc>
      </w:tr>
      <w:tr>
        <w:trPr>
          <w:cantSplit w:val="true"/>
        </w:trPr>
        <w:tc>
          <w:tcPr>
            <w:tcW w:w="12457"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Cost + 50% cost = $60,000 + $30,000</w:t>
            </w:r>
          </w:p>
        </w:tc>
        <w:tc>
          <w:tcPr>
            <w:tcW w:w="2143"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$ 90,000</w:t>
            </w:r>
          </w:p>
        </w:tc>
      </w:tr>
      <w:tr>
        <w:trPr>
          <w:trHeight w:val="15" w:hRule="atLeast"/>
          <w:cantSplit w:val="true"/>
        </w:trPr>
        <w:tc>
          <w:tcPr>
            <w:tcW w:w="12457"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Cost</w:t>
            </w:r>
          </w:p>
        </w:tc>
        <w:tc>
          <w:tcPr>
            <w:tcW w:w="2143"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(60,000)</w:t>
            </w:r>
          </w:p>
        </w:tc>
      </w:tr>
      <w:tr>
        <w:trPr>
          <w:trHeight w:val="30" w:hRule="atLeast"/>
          <w:cantSplit w:val="true"/>
        </w:trPr>
        <w:tc>
          <w:tcPr>
            <w:tcW w:w="12457"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Gross profit</w:t>
            </w:r>
          </w:p>
        </w:tc>
        <w:tc>
          <w:tcPr>
            <w:tcW w:w="2143"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$ 30,000</w:t>
            </w:r>
          </w:p>
        </w:tc>
      </w:tr>
      <w:tr>
        <w:trPr>
          <w:trHeight w:val="15" w:hRule="atLeast"/>
          <w:cantSplit w:val="true"/>
        </w:trPr>
        <w:tc>
          <w:tcPr>
            <w:tcW w:w="12457"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GP % = 30,000/90,000 =</w:t>
            </w:r>
          </w:p>
        </w:tc>
        <w:tc>
          <w:tcPr>
            <w:tcW w:w="214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1/3</w:t>
            </w:r>
          </w:p>
        </w:tc>
      </w:tr>
      <w:tr>
        <w:trPr>
          <w:trHeight w:val="15" w:hRule="atLeast"/>
          <w:cantSplit w:val="true"/>
        </w:trPr>
        <w:tc>
          <w:tcPr>
            <w:tcW w:w="12457"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Remaining inventory</w:t>
            </w:r>
          </w:p>
        </w:tc>
        <w:tc>
          <w:tcPr>
            <w:tcW w:w="214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$ 33,000</w:t>
            </w:r>
          </w:p>
        </w:tc>
      </w:tr>
      <w:tr>
        <w:trPr>
          <w:trHeight w:val="15" w:hRule="atLeast"/>
          <w:cantSplit w:val="true"/>
        </w:trPr>
        <w:tc>
          <w:tcPr>
            <w:tcW w:w="12457" w:type="dxa"/>
            <w:tcBorders/>
            <w:tcMar>
              <w:top w:w="15" w:type="dxa"/>
              <w:left w:w="67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 Intra-entity gross profit remaining in ending inventory</w:t>
            </w:r>
          </w:p>
        </w:tc>
        <w:tc>
          <w:tcPr>
            <w:tcW w:w="2143"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$ 11,000</w:t>
            </w:r>
          </w:p>
        </w:tc>
      </w:tr>
      <w:tr>
        <w:trPr>
          <w:trHeight w:val="15" w:hRule="atLeast"/>
          <w:cantSplit w:val="true"/>
        </w:trPr>
        <w:tc>
          <w:tcPr>
            <w:tcW w:w="12457"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Jolley’s ownership %</w:t>
            </w:r>
          </w:p>
        </w:tc>
        <w:tc>
          <w:tcPr>
            <w:tcW w:w="2143" w:type="dxa"/>
            <w:tcBorders>
              <w:bottom w:val="single" w:color="000000" w:sz="8"/>
            </w:tcBorders>
            <w:tcMar>
              <w:top w:w="15" w:type="dxa"/>
              <w:left w:w="15" w:type="dxa"/>
              <w:bottom w:w="15" w:type="dxa"/>
              <w:right w:w="45" w:type="dxa"/>
            </w:tcMar>
            <w:vAlign w:val="top"/>
          </w:tcPr>
          <w:p>
            <w:pPr>
              <w:keepNext w:val="true"/>
              <w:keepLines w:val="true"/>
              <w:spacing w:after="0"/>
              <w:ind w:left="0"/>
              <w:jc w:val="right"/>
            </w:pPr>
            <w:r>
              <w:rPr>
                <w:rFonts w:ascii="Courier New" w:hAnsi="Courier New"/>
                <w:b w:val="false"/>
                <w:i w:val="false"/>
                <w:color w:val="000000"/>
                <w:sz w:val="22"/>
              </w:rPr>
              <w:t>× 25%</w:t>
            </w:r>
          </w:p>
        </w:tc>
      </w:tr>
      <w:tr>
        <w:trPr>
          <w:trHeight w:val="30" w:hRule="atLeast"/>
          <w:cantSplit w:val="true"/>
        </w:trPr>
        <w:tc>
          <w:tcPr>
            <w:tcW w:w="12457" w:type="dxa"/>
            <w:tcBorders/>
            <w:tcMar>
              <w:top w:w="15" w:type="dxa"/>
              <w:left w:w="67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Deferred gross profit on intra-entity inventory sales</w:t>
            </w:r>
          </w:p>
        </w:tc>
        <w:tc>
          <w:tcPr>
            <w:tcW w:w="2143"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$ 2,750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084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Income-2023:</w:t>
            </w:r>
          </w:p>
        </w:tc>
        <w:tc>
          <w:tcPr>
            <w:tcW w:w="2155" w:type="dxa"/>
            <w:tcBorders/>
            <w:tcMar>
              <w:top w:w="15" w:type="dxa"/>
              <w:left w:w="15" w:type="dxa"/>
              <w:bottom w:w="15" w:type="dxa"/>
              <w:right w:w="150" w:type="dxa"/>
            </w:tcMar>
            <w:vAlign w:val="top"/>
          </w:tcPr>
          <w:p>
            <w:pPr>
              <w:keepNext w:val="true"/>
              <w:keepLines w:val="true"/>
            </w:pPr>
          </w:p>
        </w:tc>
      </w:tr>
      <w:tr>
        <w:trPr>
          <w:cantSplit w:val="true"/>
        </w:trPr>
        <w:tc>
          <w:tcPr>
            <w:tcW w:w="1084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Basic equity accrual ($300,000 × 40%)</w:t>
            </w:r>
          </w:p>
        </w:tc>
        <w:tc>
          <w:tcPr>
            <w:tcW w:w="215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$ 120,000</w:t>
            </w:r>
          </w:p>
        </w:tc>
      </w:tr>
      <w:tr>
        <w:trPr>
          <w:cantSplit w:val="true"/>
        </w:trPr>
        <w:tc>
          <w:tcPr>
            <w:tcW w:w="1084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Amortization (Schedule 1)</w:t>
            </w:r>
          </w:p>
        </w:tc>
        <w:tc>
          <w:tcPr>
            <w:tcW w:w="2155" w:type="dxa"/>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(6,000)</w:t>
            </w:r>
          </w:p>
        </w:tc>
      </w:tr>
      <w:tr>
        <w:trPr>
          <w:trHeight w:val="15" w:hRule="atLeast"/>
          <w:cantSplit w:val="true"/>
        </w:trPr>
        <w:tc>
          <w:tcPr>
            <w:tcW w:w="1084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Deferred intra-entity gross profit (Schedule 2)</w:t>
            </w:r>
          </w:p>
        </w:tc>
        <w:tc>
          <w:tcPr>
            <w:tcW w:w="2155"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(3,600)</w:t>
            </w:r>
          </w:p>
        </w:tc>
      </w:tr>
      <w:tr>
        <w:trPr>
          <w:trHeight w:val="30" w:hRule="atLeast"/>
          <w:cantSplit w:val="true"/>
        </w:trPr>
        <w:tc>
          <w:tcPr>
            <w:tcW w:w="10845"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income – 2023</w:t>
            </w:r>
          </w:p>
        </w:tc>
        <w:tc>
          <w:tcPr>
            <w:tcW w:w="2155"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$ 110,400</w:t>
            </w:r>
          </w:p>
        </w:tc>
      </w:tr>
    </w:tbl>
    <w:tbl>
      <w:tblPr>
        <w:jc w:val="left"/>
        <w:tblInd w:w="360" w:type="dxa"/>
        <w:tblLayout w:type="autofit"/>
      </w:tblPr>
      <w:tr>
        <w:trPr>
          <w:cantSplit w:val="true"/>
        </w:trPr>
        <w:tc>
          <w:tcPr>
            <w:tcW w:w="148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Income (Loss) – 2024:</w:t>
            </w:r>
          </w:p>
        </w:tc>
        <w:tc>
          <w:tcPr>
            <w:tcW w:w="2365" w:type="dxa"/>
            <w:tcBorders/>
            <w:tcMar>
              <w:top w:w="15" w:type="dxa"/>
              <w:left w:w="15" w:type="dxa"/>
              <w:bottom w:w="15" w:type="dxa"/>
              <w:right w:w="150" w:type="dxa"/>
            </w:tcMar>
            <w:vAlign w:val="top"/>
          </w:tcPr>
          <w:p>
            <w:pPr>
              <w:keepNext w:val="true"/>
              <w:keepLines w:val="true"/>
            </w:pPr>
          </w:p>
        </w:tc>
      </w:tr>
      <w:tr>
        <w:trPr>
          <w:cantSplit w:val="true"/>
        </w:trPr>
        <w:tc>
          <w:tcPr>
            <w:tcW w:w="148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Basic equity accrual [$120,000 × 40%]</w:t>
            </w:r>
          </w:p>
        </w:tc>
        <w:tc>
          <w:tcPr>
            <w:tcW w:w="2365" w:type="dxa"/>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 (48,000)</w:t>
            </w:r>
          </w:p>
        </w:tc>
      </w:tr>
      <w:tr>
        <w:trPr>
          <w:cantSplit w:val="true"/>
        </w:trPr>
        <w:tc>
          <w:tcPr>
            <w:tcW w:w="14835"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Amortization (Schedule 1)</w:t>
            </w:r>
          </w:p>
        </w:tc>
        <w:tc>
          <w:tcPr>
            <w:tcW w:w="2365" w:type="dxa"/>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(6,000)</w:t>
            </w:r>
          </w:p>
        </w:tc>
      </w:tr>
      <w:tr>
        <w:trPr>
          <w:cantSplit w:val="true"/>
        </w:trPr>
        <w:tc>
          <w:tcPr>
            <w:tcW w:w="14835"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Recognition of 2023 deferred intra-entity gross profit (Schedule 2)</w:t>
            </w:r>
          </w:p>
        </w:tc>
        <w:tc>
          <w:tcPr>
            <w:tcW w:w="2365"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3,600</w:t>
            </w:r>
          </w:p>
        </w:tc>
      </w:tr>
      <w:tr>
        <w:trPr>
          <w:trHeight w:val="15" w:hRule="atLeast"/>
          <w:cantSplit w:val="true"/>
        </w:trPr>
        <w:tc>
          <w:tcPr>
            <w:tcW w:w="14835"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Deferral of 2024 gross profit on intra- entity inventory sales (Schedule 3)</w:t>
            </w:r>
          </w:p>
        </w:tc>
        <w:tc>
          <w:tcPr>
            <w:tcW w:w="2365"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(9,600)</w:t>
            </w:r>
          </w:p>
        </w:tc>
      </w:tr>
      <w:tr>
        <w:trPr>
          <w:trHeight w:val="30" w:hRule="atLeast"/>
          <w:cantSplit w:val="true"/>
        </w:trPr>
        <w:tc>
          <w:tcPr>
            <w:tcW w:w="14835"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income (loss) – 2024</w:t>
            </w:r>
          </w:p>
        </w:tc>
        <w:tc>
          <w:tcPr>
            <w:tcW w:w="2365" w:type="dxa"/>
            <w:tcBorders>
              <w:bottom w:val="double" w:color="000000" w:sz="5"/>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 (60,000)</w:t>
            </w:r>
          </w:p>
        </w:tc>
      </w:tr>
    </w:tbl>
    <w:tbl>
      <w:tblPr>
        <w:jc w:val="left"/>
        <w:tblInd w:w="360" w:type="dxa"/>
        <w:tblLayout w:type="autofit"/>
      </w:tblPr>
      <w:tr>
        <w:trPr>
          <w:cantSplit w:val="true"/>
        </w:trPr>
        <w:tc>
          <w:tcPr>
            <w:tcW w:w="0" w:type="auto"/>
            <w:gridSpan w:val="5"/>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Schedule 1</w:t>
            </w:r>
          </w:p>
        </w:tc>
      </w:tr>
      <w:tr>
        <w:trPr>
          <w:cantSplit w:val="true"/>
        </w:trPr>
        <w:tc>
          <w:tcPr>
            <w:tcW w:w="9756" w:type="dxa"/>
            <w:tcBorders/>
            <w:tcMar>
              <w:top w:w="15" w:type="dxa"/>
              <w:left w:w="15" w:type="dxa"/>
              <w:bottom w:w="15" w:type="dxa"/>
              <w:right w:w="15" w:type="dxa"/>
            </w:tcMar>
            <w:vAlign w:val="top"/>
          </w:tcPr>
          <w:p>
            <w:pPr>
              <w:keepNext w:val="true"/>
              <w:keepLines w:val="true"/>
            </w:pPr>
          </w:p>
        </w:tc>
        <w:tc>
          <w:tcPr>
            <w:tcW w:w="2344" w:type="dxa"/>
            <w:tcBorders/>
            <w:tcMar>
              <w:top w:w="15" w:type="dxa"/>
              <w:left w:w="15" w:type="dxa"/>
              <w:bottom w:w="15" w:type="dxa"/>
              <w:right w:w="15" w:type="dxa"/>
            </w:tcMar>
            <w:vAlign w:val="top"/>
          </w:tcPr>
          <w:p>
            <w:pPr>
              <w:keepNext w:val="true"/>
              <w:keepLines w:val="true"/>
            </w:pPr>
          </w:p>
        </w:tc>
        <w:tc>
          <w:tcPr>
            <w:tcW w:w="0" w:type="auto"/>
            <w:gridSpan w:val="2"/>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Life</w:t>
            </w:r>
          </w:p>
        </w:tc>
        <w:tc>
          <w:tcPr>
            <w:tcW w:w="2366"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i w:val="false"/>
                <w:color w:val="000000"/>
                <w:sz w:val="22"/>
              </w:rPr>
              <w:t>Annual Amortization</w:t>
            </w:r>
          </w:p>
        </w:tc>
      </w:tr>
      <w:tr>
        <w:trPr>
          <w:cantSplit w:val="true"/>
        </w:trPr>
        <w:tc>
          <w:tcPr>
            <w:tcW w:w="97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Acquisition price</w:t>
            </w:r>
          </w:p>
        </w:tc>
        <w:tc>
          <w:tcPr>
            <w:tcW w:w="2344"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$ 700,000</w:t>
            </w:r>
          </w:p>
        </w:tc>
        <w:tc>
          <w:tcPr>
            <w:tcW w:w="768" w:type="dxa"/>
            <w:tcBorders/>
            <w:tcMar>
              <w:top w:w="15" w:type="dxa"/>
              <w:left w:w="15" w:type="dxa"/>
              <w:bottom w:w="15" w:type="dxa"/>
              <w:right w:w="15" w:type="dxa"/>
            </w:tcMar>
            <w:vAlign w:val="top"/>
          </w:tcPr>
          <w:p>
            <w:pPr>
              <w:keepNext w:val="true"/>
              <w:keepLines w:val="true"/>
            </w:pPr>
          </w:p>
        </w:tc>
        <w:tc>
          <w:tcPr>
            <w:tcW w:w="1566" w:type="dxa"/>
            <w:tcBorders/>
            <w:tcMar>
              <w:top w:w="15" w:type="dxa"/>
              <w:left w:w="15" w:type="dxa"/>
              <w:bottom w:w="15" w:type="dxa"/>
              <w:right w:w="15" w:type="dxa"/>
            </w:tcMar>
            <w:vAlign w:val="top"/>
          </w:tcPr>
          <w:p>
            <w:pPr>
              <w:keepNext w:val="true"/>
              <w:keepLines w:val="true"/>
            </w:pPr>
          </w:p>
        </w:tc>
        <w:tc>
          <w:tcPr>
            <w:tcW w:w="2366" w:type="dxa"/>
            <w:tcBorders/>
            <w:tcMar>
              <w:top w:w="15" w:type="dxa"/>
              <w:left w:w="15" w:type="dxa"/>
              <w:bottom w:w="15" w:type="dxa"/>
              <w:right w:w="15" w:type="dxa"/>
            </w:tcMar>
            <w:vAlign w:val="top"/>
          </w:tcPr>
          <w:p>
            <w:pPr>
              <w:keepNext w:val="true"/>
              <w:keepLines w:val="true"/>
            </w:pPr>
          </w:p>
        </w:tc>
      </w:tr>
      <w:tr>
        <w:trPr>
          <w:trHeight w:val="15" w:hRule="atLeast"/>
          <w:cantSplit w:val="true"/>
        </w:trPr>
        <w:tc>
          <w:tcPr>
            <w:tcW w:w="97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Book value equivalence ($1,500,000 × 40%)</w:t>
            </w:r>
          </w:p>
        </w:tc>
        <w:tc>
          <w:tcPr>
            <w:tcW w:w="2344" w:type="dxa"/>
            <w:tcBorders>
              <w:bottom w:val="single" w:color="000000" w:sz="8"/>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(600,000)</w:t>
            </w:r>
          </w:p>
        </w:tc>
        <w:tc>
          <w:tcPr>
            <w:tcW w:w="768" w:type="dxa"/>
            <w:tcBorders/>
            <w:tcMar>
              <w:top w:w="15" w:type="dxa"/>
              <w:left w:w="15" w:type="dxa"/>
              <w:bottom w:w="15" w:type="dxa"/>
              <w:right w:w="15" w:type="dxa"/>
            </w:tcMar>
            <w:vAlign w:val="top"/>
          </w:tcPr>
          <w:p>
            <w:pPr>
              <w:keepNext w:val="true"/>
              <w:keepLines w:val="true"/>
            </w:pPr>
          </w:p>
        </w:tc>
        <w:tc>
          <w:tcPr>
            <w:tcW w:w="1566" w:type="dxa"/>
            <w:tcBorders/>
            <w:tcMar>
              <w:top w:w="15" w:type="dxa"/>
              <w:left w:w="15" w:type="dxa"/>
              <w:bottom w:w="15" w:type="dxa"/>
              <w:right w:w="15" w:type="dxa"/>
            </w:tcMar>
            <w:vAlign w:val="top"/>
          </w:tcPr>
          <w:p>
            <w:pPr>
              <w:keepNext w:val="true"/>
              <w:keepLines w:val="true"/>
            </w:pPr>
          </w:p>
        </w:tc>
        <w:tc>
          <w:tcPr>
            <w:tcW w:w="2366" w:type="dxa"/>
            <w:tcBorders/>
            <w:tcMar>
              <w:top w:w="15" w:type="dxa"/>
              <w:left w:w="15" w:type="dxa"/>
              <w:bottom w:w="15" w:type="dxa"/>
              <w:right w:w="450" w:type="dxa"/>
            </w:tcMar>
            <w:vAlign w:val="top"/>
          </w:tcPr>
          <w:p>
            <w:pPr>
              <w:keepNext w:val="true"/>
              <w:keepLines w:val="true"/>
            </w:pPr>
          </w:p>
        </w:tc>
      </w:tr>
      <w:tr>
        <w:trPr>
          <w:cantSplit w:val="true"/>
        </w:trPr>
        <w:tc>
          <w:tcPr>
            <w:tcW w:w="97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Payment in excess of book value</w:t>
            </w:r>
          </w:p>
        </w:tc>
        <w:tc>
          <w:tcPr>
            <w:tcW w:w="2344"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$ 100,000</w:t>
            </w:r>
          </w:p>
        </w:tc>
        <w:tc>
          <w:tcPr>
            <w:tcW w:w="768" w:type="dxa"/>
            <w:tcBorders/>
            <w:tcMar>
              <w:top w:w="15" w:type="dxa"/>
              <w:left w:w="15" w:type="dxa"/>
              <w:bottom w:w="15" w:type="dxa"/>
              <w:right w:w="15" w:type="dxa"/>
            </w:tcMar>
            <w:vAlign w:val="top"/>
          </w:tcPr>
          <w:p>
            <w:pPr>
              <w:keepNext w:val="true"/>
              <w:keepLines w:val="true"/>
            </w:pPr>
          </w:p>
        </w:tc>
        <w:tc>
          <w:tcPr>
            <w:tcW w:w="1566" w:type="dxa"/>
            <w:tcBorders/>
            <w:tcMar>
              <w:top w:w="15" w:type="dxa"/>
              <w:left w:w="15" w:type="dxa"/>
              <w:bottom w:w="15" w:type="dxa"/>
              <w:right w:w="15" w:type="dxa"/>
            </w:tcMar>
            <w:vAlign w:val="top"/>
          </w:tcPr>
          <w:p>
            <w:pPr>
              <w:keepNext w:val="true"/>
              <w:keepLines w:val="true"/>
            </w:pPr>
          </w:p>
        </w:tc>
        <w:tc>
          <w:tcPr>
            <w:tcW w:w="2366" w:type="dxa"/>
            <w:tcBorders/>
            <w:tcMar>
              <w:top w:w="15" w:type="dxa"/>
              <w:left w:w="15" w:type="dxa"/>
              <w:bottom w:w="15" w:type="dxa"/>
              <w:right w:w="450" w:type="dxa"/>
            </w:tcMar>
            <w:vAlign w:val="top"/>
          </w:tcPr>
          <w:p>
            <w:pPr>
              <w:keepNext w:val="true"/>
              <w:keepLines w:val="true"/>
            </w:pPr>
          </w:p>
        </w:tc>
      </w:tr>
      <w:tr>
        <w:trPr>
          <w:cantSplit w:val="true"/>
        </w:trPr>
        <w:tc>
          <w:tcPr>
            <w:tcW w:w="97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Excess payment identified with specific assets</w:t>
            </w:r>
          </w:p>
        </w:tc>
        <w:tc>
          <w:tcPr>
            <w:tcW w:w="2344" w:type="dxa"/>
            <w:tcBorders/>
            <w:tcMar>
              <w:top w:w="15" w:type="dxa"/>
              <w:left w:w="15" w:type="dxa"/>
              <w:bottom w:w="15" w:type="dxa"/>
              <w:right w:w="150" w:type="dxa"/>
            </w:tcMar>
            <w:vAlign w:val="top"/>
          </w:tcPr>
          <w:p>
            <w:pPr>
              <w:keepNext w:val="true"/>
              <w:keepLines w:val="true"/>
            </w:pPr>
          </w:p>
        </w:tc>
        <w:tc>
          <w:tcPr>
            <w:tcW w:w="768" w:type="dxa"/>
            <w:tcBorders/>
            <w:tcMar>
              <w:top w:w="15" w:type="dxa"/>
              <w:left w:w="15" w:type="dxa"/>
              <w:bottom w:w="15" w:type="dxa"/>
              <w:right w:w="15" w:type="dxa"/>
            </w:tcMar>
            <w:vAlign w:val="top"/>
          </w:tcPr>
          <w:p>
            <w:pPr>
              <w:keepNext w:val="true"/>
              <w:keepLines w:val="true"/>
            </w:pPr>
          </w:p>
        </w:tc>
        <w:tc>
          <w:tcPr>
            <w:tcW w:w="1566" w:type="dxa"/>
            <w:tcBorders/>
            <w:tcMar>
              <w:top w:w="15" w:type="dxa"/>
              <w:left w:w="15" w:type="dxa"/>
              <w:bottom w:w="15" w:type="dxa"/>
              <w:right w:w="15" w:type="dxa"/>
            </w:tcMar>
            <w:vAlign w:val="top"/>
          </w:tcPr>
          <w:p>
            <w:pPr>
              <w:keepNext w:val="true"/>
              <w:keepLines w:val="true"/>
            </w:pPr>
          </w:p>
        </w:tc>
        <w:tc>
          <w:tcPr>
            <w:tcW w:w="2366" w:type="dxa"/>
            <w:tcBorders/>
            <w:tcMar>
              <w:top w:w="15" w:type="dxa"/>
              <w:left w:w="15" w:type="dxa"/>
              <w:bottom w:w="15" w:type="dxa"/>
              <w:right w:w="450" w:type="dxa"/>
            </w:tcMar>
            <w:vAlign w:val="top"/>
          </w:tcPr>
          <w:p>
            <w:pPr>
              <w:keepNext w:val="true"/>
              <w:keepLines w:val="true"/>
            </w:pPr>
          </w:p>
        </w:tc>
      </w:tr>
      <w:tr>
        <w:trPr>
          <w:trHeight w:val="15" w:hRule="atLeast"/>
          <w:cantSplit w:val="true"/>
        </w:trPr>
        <w:tc>
          <w:tcPr>
            <w:tcW w:w="9756"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Building ($180,000 × 40%)</w:t>
            </w:r>
          </w:p>
        </w:tc>
        <w:tc>
          <w:tcPr>
            <w:tcW w:w="2344" w:type="dxa"/>
            <w:tcBorders>
              <w:bottom w:val="single" w:color="000000" w:sz="8"/>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72,000</w:t>
            </w:r>
          </w:p>
        </w:tc>
        <w:tc>
          <w:tcPr>
            <w:tcW w:w="768" w:type="dxa"/>
            <w:tcBorders/>
            <w:tcMar>
              <w:top w:w="15" w:type="dxa"/>
              <w:left w:w="15" w:type="dxa"/>
              <w:bottom w:w="15" w:type="dxa"/>
              <w:right w:w="15" w:type="dxa"/>
            </w:tcMar>
            <w:vAlign w:val="top"/>
          </w:tcPr>
          <w:p>
            <w:pPr>
              <w:keepNext w:val="true"/>
              <w:keepLines w:val="true"/>
              <w:spacing w:after="0"/>
              <w:ind w:left="0"/>
              <w:jc w:val="right"/>
            </w:pPr>
            <w:r>
              <w:rPr>
                <w:rFonts w:ascii="Courier New" w:hAnsi="Courier New"/>
                <w:b w:val="false"/>
                <w:i w:val="false"/>
                <w:color w:val="000000"/>
                <w:sz w:val="22"/>
              </w:rPr>
              <w:t>12</w:t>
            </w:r>
          </w:p>
        </w:tc>
        <w:tc>
          <w:tcPr>
            <w:tcW w:w="156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val="false"/>
                <w:i w:val="false"/>
                <w:color w:val="000000"/>
                <w:sz w:val="22"/>
              </w:rPr>
              <w:t>years</w:t>
            </w:r>
          </w:p>
        </w:tc>
        <w:tc>
          <w:tcPr>
            <w:tcW w:w="2366" w:type="dxa"/>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$ 6,000</w:t>
            </w:r>
          </w:p>
        </w:tc>
      </w:tr>
      <w:tr>
        <w:trPr>
          <w:trHeight w:val="15" w:hRule="atLeast"/>
          <w:cantSplit w:val="true"/>
        </w:trPr>
        <w:tc>
          <w:tcPr>
            <w:tcW w:w="97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Excess payment not identified with specific accounts</w:t>
            </w:r>
          </w:p>
        </w:tc>
        <w:tc>
          <w:tcPr>
            <w:tcW w:w="2344"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$ 28,000</w:t>
            </w:r>
          </w:p>
        </w:tc>
        <w:tc>
          <w:tcPr>
            <w:tcW w:w="768" w:type="dxa"/>
            <w:tcBorders/>
            <w:tcMar>
              <w:top w:w="15" w:type="dxa"/>
              <w:left w:w="15" w:type="dxa"/>
              <w:bottom w:w="15" w:type="dxa"/>
              <w:right w:w="15" w:type="dxa"/>
            </w:tcMar>
            <w:vAlign w:val="top"/>
          </w:tcPr>
          <w:p>
            <w:pPr>
              <w:keepNext w:val="true"/>
              <w:keepLines w:val="true"/>
            </w:pPr>
          </w:p>
        </w:tc>
        <w:tc>
          <w:tcPr>
            <w:tcW w:w="1566" w:type="dxa"/>
            <w:tcBorders/>
            <w:tcMar>
              <w:top w:w="15" w:type="dxa"/>
              <w:left w:w="15" w:type="dxa"/>
              <w:bottom w:w="15" w:type="dxa"/>
              <w:right w:w="15" w:type="dxa"/>
            </w:tcMar>
            <w:vAlign w:val="top"/>
          </w:tcPr>
          <w:p>
            <w:pPr>
              <w:keepNext w:val="true"/>
              <w:keepLines w:val="true"/>
            </w:pPr>
          </w:p>
        </w:tc>
        <w:tc>
          <w:tcPr>
            <w:tcW w:w="2366" w:type="dxa"/>
            <w:tcBorders>
              <w:bottom w:val="single" w:color="000000" w:sz="8"/>
            </w:tcBorders>
            <w:tcMar>
              <w:top w:w="15" w:type="dxa"/>
              <w:left w:w="15" w:type="dxa"/>
              <w:bottom w:w="15" w:type="dxa"/>
              <w:right w:w="450" w:type="dxa"/>
            </w:tcMar>
            <w:vAlign w:val="top"/>
          </w:tcPr>
          <w:p>
            <w:pPr>
              <w:keepNext w:val="true"/>
              <w:keepLines w:val="true"/>
            </w:pPr>
          </w:p>
        </w:tc>
      </w:tr>
      <w:tr>
        <w:trPr>
          <w:trHeight w:val="30" w:hRule="atLeast"/>
          <w:cantSplit w:val="true"/>
        </w:trPr>
        <w:tc>
          <w:tcPr>
            <w:tcW w:w="9756" w:type="dxa"/>
            <w:tcBorders/>
            <w:tcMar>
              <w:top w:w="15" w:type="dxa"/>
              <w:left w:w="225" w:type="dxa"/>
              <w:bottom w:w="15" w:type="dxa"/>
              <w:right w:w="15" w:type="dxa"/>
            </w:tcMar>
            <w:vAlign w:val="top"/>
          </w:tcPr>
          <w:p>
            <w:pPr>
              <w:keepNext w:val="true"/>
              <w:keepLines w:val="true"/>
            </w:pPr>
          </w:p>
        </w:tc>
        <w:tc>
          <w:tcPr>
            <w:tcW w:w="2344" w:type="dxa"/>
            <w:tcBorders/>
            <w:tcMar>
              <w:top w:w="15" w:type="dxa"/>
              <w:left w:w="15" w:type="dxa"/>
              <w:bottom w:w="15" w:type="dxa"/>
              <w:right w:w="150" w:type="dxa"/>
            </w:tcMar>
            <w:vAlign w:val="top"/>
          </w:tcPr>
          <w:p>
            <w:pPr>
              <w:keepNext w:val="true"/>
              <w:keepLines w:val="true"/>
            </w:pPr>
          </w:p>
        </w:tc>
        <w:tc>
          <w:tcPr>
            <w:tcW w:w="768" w:type="dxa"/>
            <w:tcBorders/>
            <w:tcMar>
              <w:top w:w="15" w:type="dxa"/>
              <w:left w:w="15" w:type="dxa"/>
              <w:bottom w:w="15" w:type="dxa"/>
              <w:right w:w="15" w:type="dxa"/>
            </w:tcMar>
            <w:vAlign w:val="top"/>
          </w:tcPr>
          <w:p>
            <w:pPr>
              <w:keepNext w:val="true"/>
              <w:keepLines w:val="true"/>
            </w:pPr>
          </w:p>
        </w:tc>
        <w:tc>
          <w:tcPr>
            <w:tcW w:w="1566" w:type="dxa"/>
            <w:tcBorders/>
            <w:tcMar>
              <w:top w:w="15" w:type="dxa"/>
              <w:left w:w="15" w:type="dxa"/>
              <w:bottom w:w="15" w:type="dxa"/>
              <w:right w:w="15" w:type="dxa"/>
            </w:tcMar>
            <w:vAlign w:val="top"/>
          </w:tcPr>
          <w:p>
            <w:pPr>
              <w:keepNext w:val="true"/>
              <w:keepLines w:val="true"/>
            </w:pPr>
          </w:p>
        </w:tc>
        <w:tc>
          <w:tcPr>
            <w:tcW w:w="2366" w:type="dxa"/>
            <w:tcBorders>
              <w:bottom w:val="double" w:color="000000" w:sz="5"/>
            </w:tcBorders>
            <w:tcMar>
              <w:top w:w="15" w:type="dxa"/>
              <w:left w:w="15" w:type="dxa"/>
              <w:bottom w:w="15" w:type="dxa"/>
              <w:right w:w="450" w:type="dxa"/>
            </w:tcMar>
            <w:vAlign w:val="top"/>
          </w:tcPr>
          <w:p>
            <w:pPr>
              <w:keepNext w:val="true"/>
              <w:keepLines w:val="true"/>
              <w:spacing w:after="0"/>
              <w:ind w:left="0"/>
              <w:jc w:val="right"/>
            </w:pPr>
            <w:r>
              <w:rPr>
                <w:rFonts w:ascii="Courier New" w:hAnsi="Courier New"/>
                <w:b w:val="false"/>
                <w:i w:val="false"/>
                <w:color w:val="000000"/>
                <w:sz w:val="22"/>
              </w:rPr>
              <w:t>$ 6,000</w:t>
            </w:r>
          </w:p>
        </w:tc>
      </w:tr>
    </w:tbl>
    <w:tbl>
      <w:tblPr>
        <w:jc w:val="left"/>
        <w:tblInd w:w="360" w:type="dxa"/>
        <w:tblLayout w:type="autofit"/>
      </w:tblPr>
      <w:tr>
        <w:trPr>
          <w:cantSplit w:val="true"/>
        </w:trPr>
        <w:tc>
          <w:tcPr>
            <w:tcW w:w="0" w:type="auto"/>
            <w:gridSpan w:val="2"/>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Schedule 2</w:t>
            </w:r>
          </w:p>
        </w:tc>
      </w:tr>
      <w:tr>
        <w:trPr>
          <w:cantSplit w:val="true"/>
        </w:trPr>
        <w:tc>
          <w:tcPr>
            <w:tcW w:w="10881"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Inventory remaining at December 31, 2023 ($96,000 − $72,000)</w:t>
            </w:r>
          </w:p>
        </w:tc>
        <w:tc>
          <w:tcPr>
            <w:tcW w:w="2119"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$ 24,000</w:t>
            </w:r>
          </w:p>
        </w:tc>
      </w:tr>
      <w:tr>
        <w:trPr>
          <w:trHeight w:val="15" w:hRule="atLeast"/>
          <w:cantSplit w:val="true"/>
        </w:trPr>
        <w:tc>
          <w:tcPr>
            <w:tcW w:w="1088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Gross profit percentage ($36,000 ÷ $96,000)</w:t>
            </w:r>
          </w:p>
        </w:tc>
        <w:tc>
          <w:tcPr>
            <w:tcW w:w="2119" w:type="dxa"/>
            <w:tcBorders>
              <w:bottom w:val="single" w:color="000000" w:sz="8"/>
            </w:tcBorders>
            <w:tcMar>
              <w:top w:w="15" w:type="dxa"/>
              <w:left w:w="15" w:type="dxa"/>
              <w:bottom w:w="15" w:type="dxa"/>
              <w:right w:w="45" w:type="dxa"/>
            </w:tcMar>
            <w:vAlign w:val="top"/>
          </w:tcPr>
          <w:p>
            <w:pPr>
              <w:keepNext w:val="true"/>
              <w:keepLines w:val="true"/>
              <w:spacing w:after="0"/>
              <w:ind w:left="0"/>
              <w:jc w:val="right"/>
            </w:pPr>
            <w:r>
              <w:rPr>
                <w:rFonts w:ascii="Courier New" w:hAnsi="Courier New"/>
                <w:b w:val="false"/>
                <w:i w:val="false"/>
                <w:color w:val="000000"/>
                <w:sz w:val="22"/>
              </w:rPr>
              <w:t>× 37.5%</w:t>
            </w:r>
          </w:p>
        </w:tc>
      </w:tr>
      <w:tr>
        <w:trPr>
          <w:cantSplit w:val="true"/>
        </w:trPr>
        <w:tc>
          <w:tcPr>
            <w:tcW w:w="1088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Total gross profit on intra-entity sales</w:t>
            </w:r>
          </w:p>
        </w:tc>
        <w:tc>
          <w:tcPr>
            <w:tcW w:w="2119"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$ 9,000</w:t>
            </w:r>
          </w:p>
        </w:tc>
      </w:tr>
      <w:tr>
        <w:trPr>
          <w:trHeight w:val="15" w:hRule="atLeast"/>
          <w:cantSplit w:val="true"/>
        </w:trPr>
        <w:tc>
          <w:tcPr>
            <w:tcW w:w="10881"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Investor ownership percentage</w:t>
            </w:r>
          </w:p>
        </w:tc>
        <w:tc>
          <w:tcPr>
            <w:tcW w:w="2119" w:type="dxa"/>
            <w:tcBorders>
              <w:bottom w:val="single" w:color="000000" w:sz="8"/>
            </w:tcBorders>
            <w:tcMar>
              <w:top w:w="15" w:type="dxa"/>
              <w:left w:w="15" w:type="dxa"/>
              <w:bottom w:w="15" w:type="dxa"/>
              <w:right w:w="45" w:type="dxa"/>
            </w:tcMar>
            <w:vAlign w:val="top"/>
          </w:tcPr>
          <w:p>
            <w:pPr>
              <w:keepNext w:val="true"/>
              <w:keepLines w:val="true"/>
              <w:spacing w:after="0"/>
              <w:ind w:left="0"/>
              <w:jc w:val="right"/>
            </w:pPr>
            <w:r>
              <w:rPr>
                <w:rFonts w:ascii="Courier New" w:hAnsi="Courier New"/>
                <w:b w:val="false"/>
                <w:i w:val="false"/>
                <w:color w:val="000000"/>
                <w:sz w:val="22"/>
              </w:rPr>
              <w:t>× 40.0%</w:t>
            </w:r>
          </w:p>
        </w:tc>
      </w:tr>
      <w:tr>
        <w:trPr>
          <w:trHeight w:val="30" w:hRule="atLeast"/>
          <w:cantSplit w:val="true"/>
        </w:trPr>
        <w:tc>
          <w:tcPr>
            <w:tcW w:w="10881"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Deferred intra-entity gross profit 12/31/23 (to be deferred until recognized in 2024)</w:t>
            </w:r>
          </w:p>
        </w:tc>
        <w:tc>
          <w:tcPr>
            <w:tcW w:w="2119"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$ 3,600</w:t>
            </w:r>
          </w:p>
        </w:tc>
      </w:tr>
    </w:tbl>
    <w:tbl>
      <w:tblPr>
        <w:jc w:val="left"/>
        <w:tblInd w:w="360" w:type="dxa"/>
        <w:tblLayout w:type="autofit"/>
      </w:tblPr>
      <w:tr>
        <w:trPr>
          <w:cantSplit w:val="true"/>
        </w:trPr>
        <w:tc>
          <w:tcPr>
            <w:tcW w:w="0" w:type="auto"/>
            <w:gridSpan w:val="2"/>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Schedule 3</w:t>
            </w:r>
          </w:p>
        </w:tc>
      </w:tr>
      <w:tr>
        <w:trPr>
          <w:cantSplit w:val="true"/>
        </w:trPr>
        <w:tc>
          <w:tcPr>
            <w:tcW w:w="1089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Inventory remaining at December 31, 2024 ($180,000 − $120,000)</w:t>
            </w:r>
          </w:p>
        </w:tc>
        <w:tc>
          <w:tcPr>
            <w:tcW w:w="230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$ 60,000</w:t>
            </w:r>
          </w:p>
        </w:tc>
      </w:tr>
      <w:tr>
        <w:trPr>
          <w:trHeight w:val="15" w:hRule="atLeast"/>
          <w:cantSplit w:val="true"/>
        </w:trPr>
        <w:tc>
          <w:tcPr>
            <w:tcW w:w="1089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Gross profit percentage ($72,000 ÷ $180,000)</w:t>
            </w:r>
          </w:p>
        </w:tc>
        <w:tc>
          <w:tcPr>
            <w:tcW w:w="2306" w:type="dxa"/>
            <w:tcBorders>
              <w:bottom w:val="single" w:color="000000" w:sz="8"/>
            </w:tcBorders>
            <w:tcMar>
              <w:top w:w="15" w:type="dxa"/>
              <w:left w:w="15" w:type="dxa"/>
              <w:bottom w:w="15" w:type="dxa"/>
              <w:right w:w="45" w:type="dxa"/>
            </w:tcMar>
            <w:vAlign w:val="top"/>
          </w:tcPr>
          <w:p>
            <w:pPr>
              <w:keepNext w:val="true"/>
              <w:keepLines w:val="true"/>
              <w:spacing w:after="0"/>
              <w:ind w:left="0"/>
              <w:jc w:val="right"/>
            </w:pPr>
            <w:r>
              <w:rPr>
                <w:rFonts w:ascii="Courier New" w:hAnsi="Courier New"/>
                <w:b w:val="false"/>
                <w:i w:val="false"/>
                <w:color w:val="000000"/>
                <w:sz w:val="22"/>
              </w:rPr>
              <w:t>× 40.0%</w:t>
            </w:r>
          </w:p>
        </w:tc>
      </w:tr>
      <w:tr>
        <w:trPr>
          <w:cantSplit w:val="true"/>
        </w:trPr>
        <w:tc>
          <w:tcPr>
            <w:tcW w:w="1089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Gross profit on intra-entity inventory sales</w:t>
            </w:r>
          </w:p>
        </w:tc>
        <w:tc>
          <w:tcPr>
            <w:tcW w:w="2306"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$ 24,000</w:t>
            </w:r>
          </w:p>
        </w:tc>
      </w:tr>
      <w:tr>
        <w:trPr>
          <w:trHeight w:val="15" w:hRule="atLeast"/>
          <w:cantSplit w:val="true"/>
        </w:trPr>
        <w:tc>
          <w:tcPr>
            <w:tcW w:w="1089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Investor ownership percentage</w:t>
            </w:r>
          </w:p>
        </w:tc>
        <w:tc>
          <w:tcPr>
            <w:tcW w:w="2306" w:type="dxa"/>
            <w:tcBorders>
              <w:bottom w:val="single" w:color="000000" w:sz="8"/>
            </w:tcBorders>
            <w:tcMar>
              <w:top w:w="15" w:type="dxa"/>
              <w:left w:w="15" w:type="dxa"/>
              <w:bottom w:w="15" w:type="dxa"/>
              <w:right w:w="45" w:type="dxa"/>
            </w:tcMar>
            <w:vAlign w:val="top"/>
          </w:tcPr>
          <w:p>
            <w:pPr>
              <w:keepNext w:val="true"/>
              <w:keepLines w:val="true"/>
              <w:spacing w:after="0"/>
              <w:ind w:left="0"/>
              <w:jc w:val="right"/>
            </w:pPr>
            <w:r>
              <w:rPr>
                <w:rFonts w:ascii="Courier New" w:hAnsi="Courier New"/>
                <w:b w:val="false"/>
                <w:i w:val="false"/>
                <w:color w:val="000000"/>
                <w:sz w:val="22"/>
              </w:rPr>
              <w:t>× 40.0%</w:t>
            </w:r>
          </w:p>
        </w:tc>
      </w:tr>
      <w:tr>
        <w:trPr>
          <w:trHeight w:val="30" w:hRule="atLeast"/>
          <w:cantSplit w:val="true"/>
        </w:trPr>
        <w:tc>
          <w:tcPr>
            <w:tcW w:w="1089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Deferred intra-entity gross profit - 12/31/24 (to be deferred until recognized in 2025)</w:t>
            </w:r>
          </w:p>
        </w:tc>
        <w:tc>
          <w:tcPr>
            <w:tcW w:w="2306"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$ 9,600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6743" w:type="dxa"/>
            <w:tcBorders/>
            <w:tcMar>
              <w:top w:w="15" w:type="dxa"/>
              <w:left w:w="225" w:type="dxa"/>
              <w:bottom w:w="15" w:type="dxa"/>
              <w:right w:w="15" w:type="dxa"/>
            </w:tcMar>
            <w:vAlign w:val="top"/>
          </w:tcPr>
          <w:p>
            <w:pPr>
              <w:keepNext w:val="true"/>
              <w:keepLines w:val="true"/>
            </w:pPr>
          </w:p>
        </w:tc>
        <w:tc>
          <w:tcPr>
            <w:tcW w:w="1949"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308" w:type="dxa"/>
            <w:tcBorders/>
            <w:tcMar>
              <w:top w:w="15" w:type="dxa"/>
              <w:left w:w="15" w:type="dxa"/>
              <w:bottom w:w="15" w:type="dxa"/>
              <w:right w:w="30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743"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Ritz</w:t>
            </w:r>
          </w:p>
        </w:tc>
        <w:tc>
          <w:tcPr>
            <w:tcW w:w="194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325,000</w:t>
            </w:r>
          </w:p>
        </w:tc>
        <w:tc>
          <w:tcPr>
            <w:tcW w:w="2308" w:type="dxa"/>
            <w:tcBorders/>
            <w:tcMar>
              <w:top w:w="15" w:type="dxa"/>
              <w:left w:w="15" w:type="dxa"/>
              <w:bottom w:w="15" w:type="dxa"/>
              <w:right w:w="300" w:type="dxa"/>
            </w:tcMar>
            <w:vAlign w:val="top"/>
          </w:tcPr>
          <w:p>
            <w:pPr>
              <w:keepNext w:val="true"/>
              <w:keepLines w:val="true"/>
            </w:pPr>
          </w:p>
        </w:tc>
      </w:tr>
      <w:tr>
        <w:trPr>
          <w:cantSplit w:val="true"/>
        </w:trPr>
        <w:tc>
          <w:tcPr>
            <w:tcW w:w="6743"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49" w:type="dxa"/>
            <w:tcBorders/>
            <w:tcMar>
              <w:top w:w="15" w:type="dxa"/>
              <w:left w:w="15" w:type="dxa"/>
              <w:bottom w:w="15" w:type="dxa"/>
              <w:right w:w="300" w:type="dxa"/>
            </w:tcMar>
            <w:vAlign w:val="top"/>
          </w:tcPr>
          <w:p>
            <w:pPr>
              <w:keepNext w:val="true"/>
              <w:keepLines w:val="true"/>
            </w:pPr>
          </w:p>
        </w:tc>
        <w:tc>
          <w:tcPr>
            <w:tcW w:w="230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325,000</w:t>
            </w:r>
          </w:p>
        </w:tc>
      </w:tr>
    </w:tbl>
    <w:p>
      <w:pPr>
        <w:keepNext w:val="true"/>
        <w:keepLines w:val="true"/>
        <w:spacing w:after="0"/>
        <w:ind w:left="360"/>
        <w:jc w:val="left"/>
      </w:pPr>
      <w:r>
        <w:rPr>
          <w:rFonts w:ascii="Times New Roman"/>
          <w:b w:val="false"/>
          <w:i w:val="false"/>
          <w:color w:val="000000"/>
          <w:sz w:val="24"/>
        </w:rPr>
        <w:t>To record the purchase of an additional 20% share in Ritz Corporation.</w:t>
      </w:r>
      <w:r>
        <w:rPr>
          <w:rFonts w:ascii="Times New Roman"/>
          <w:sz w:val="24"/>
        </w:rPr>
        <w:br/>
      </w:r>
      <w:r>
        <w:rPr>
          <w:rFonts w:ascii="Times New Roman"/>
          <w:b w:val="false"/>
          <w:i w:val="false"/>
          <w:color w:val="000000"/>
          <w:sz w:val="24"/>
        </w:rPr>
        <w:t>Additionally, if the fair value of the original 10% shares differed on January 7, 2024, than it did on December 31, 2023, Pursley would record the adjustment to the investment account so that the proper allocation of excess payment to goodwill could be prepared when the ownership percentage required use of the equity method of accounting on January 7, 2024.</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[($50,000 − $35,000) × 0.25 × 0.40] = $1,500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[($75,000 − $54,000) × 0.10 × 0.40] = $840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[($50,000 − $35,000) × 0.25 × 0.40] = $1,500</w:t>
      </w:r>
      <w:r>
        <w:rPr>
          <w:rFonts w:ascii="Times New Roman"/>
          <w:sz w:val="24"/>
        </w:rPr>
        <w:br/>
      </w:r>
      <w:r>
        <w:rPr>
          <w:rFonts w:ascii="Times New Roman"/>
          <w:b w:val="false"/>
          <w:i w:val="false"/>
          <w:color w:val="000000"/>
          <w:sz w:val="24"/>
        </w:rPr>
        <w:t>[($75,000 − $54,000) × 0.10 × 0.40] = $840</w:t>
      </w:r>
      <w:r>
        <w:rPr>
          <w:rFonts w:ascii="Times New Roman"/>
          <w:sz w:val="24"/>
        </w:rPr>
        <w:br/>
      </w:r>
      <w:r>
        <w:rPr>
          <w:rFonts w:ascii="Times New Roman"/>
          <w:b w:val="false"/>
          <w:i w:val="false"/>
          <w:color w:val="000000"/>
          <w:sz w:val="24"/>
        </w:rPr>
        <w:t>[($120,000 × 0.4) − $12,000 − $840 + $1,500] = $36,660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[($50,000 − $35,000) × 0.25 × 0.40] = $1,500</w:t>
      </w:r>
      <w:r>
        <w:rPr>
          <w:rFonts w:ascii="Times New Roman"/>
          <w:sz w:val="24"/>
        </w:rPr>
        <w:br/>
      </w:r>
      <w:r>
        <w:rPr>
          <w:rFonts w:ascii="Times New Roman"/>
          <w:b w:val="false"/>
          <w:i w:val="false"/>
          <w:color w:val="000000"/>
          <w:sz w:val="24"/>
        </w:rPr>
        <w:t>[($75,000 − $54,000) × 0.10 × 0.40] = $840</w:t>
      </w:r>
      <w:r>
        <w:rPr>
          <w:rFonts w:ascii="Times New Roman"/>
          <w:sz w:val="24"/>
        </w:rPr>
        <w:br/>
      </w:r>
      <w:r>
        <w:rPr>
          <w:rFonts w:ascii="Times New Roman"/>
          <w:b w:val="false"/>
          <w:i w:val="false"/>
          <w:color w:val="000000"/>
          <w:sz w:val="24"/>
        </w:rPr>
        <w:t>[($120,000 × 0.4) − $12,000 − $840 + $1,500] = $36,660</w:t>
      </w:r>
      <w:r>
        <w:rPr>
          <w:rFonts w:ascii="Times New Roman"/>
          <w:sz w:val="24"/>
        </w:rPr>
        <w:br/>
      </w:r>
      <w:r>
        <w:rPr>
          <w:rFonts w:ascii="Times New Roman"/>
          <w:b w:val="false"/>
          <w:i w:val="false"/>
          <w:color w:val="000000"/>
          <w:sz w:val="24"/>
        </w:rPr>
        <w:t>[$503,000 + $36,660 − ($40,000 × 0.4)] = $523,660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[($80,000 − $60,000) × 0.25 × 0.35] = $1,750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[($100,000 − $70,000) × 0.20 × 0.35] = $2,100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Purchase price of Christopher Company Stock</w:t>
            </w:r>
          </w:p>
        </w:tc>
        <w:tc>
          <w:tcPr>
            <w:tcW w:w="217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$ 560,000</w:t>
            </w:r>
          </w:p>
        </w:tc>
      </w:tr>
      <w:tr>
        <w:trPr>
          <w:trHeight w:val="30" w:hRule="atLeast"/>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Share of book value acquired [($2,000,000 − $600,000) × 35%]</w:t>
            </w:r>
          </w:p>
        </w:tc>
        <w:tc>
          <w:tcPr>
            <w:tcW w:w="2170" w:type="dxa"/>
            <w:tcBorders>
              <w:bottom w:val="double" w:color="000000" w:sz="5"/>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(490,000)</w:t>
            </w:r>
          </w:p>
        </w:tc>
      </w:tr>
      <w:tr>
        <w:trPr>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Patent</w:t>
            </w:r>
          </w:p>
        </w:tc>
        <w:tc>
          <w:tcPr>
            <w:tcW w:w="217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70,000</w:t>
            </w:r>
          </w:p>
        </w:tc>
      </w:tr>
      <w:tr>
        <w:trPr>
          <w:trHeight w:val="30" w:hRule="atLeast"/>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Life in years</w:t>
            </w:r>
          </w:p>
        </w:tc>
        <w:tc>
          <w:tcPr>
            <w:tcW w:w="2170"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10</w:t>
            </w:r>
          </w:p>
        </w:tc>
      </w:tr>
      <w:tr>
        <w:trPr>
          <w:trHeight w:val="30" w:hRule="atLeast"/>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Annual amortization</w:t>
            </w:r>
          </w:p>
        </w:tc>
        <w:tc>
          <w:tcPr>
            <w:tcW w:w="2170"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$ 7,000</w:t>
            </w:r>
          </w:p>
        </w:tc>
      </w:tr>
    </w:tbl>
    <w:tbl>
      <w:tblPr>
        <w:jc w:val="left"/>
        <w:tblInd w:w="360" w:type="dxa"/>
        <w:tblLayout w:type="autofit"/>
      </w:tblPr>
      <w:tr>
        <w:trPr>
          <w:cantSplit w:val="true"/>
        </w:trPr>
        <w:tc>
          <w:tcPr>
            <w:tcW w:w="7056" w:type="dxa"/>
            <w:tcBorders/>
            <w:tcMar>
              <w:top w:w="15" w:type="dxa"/>
              <w:left w:w="225" w:type="dxa"/>
              <w:bottom w:w="15" w:type="dxa"/>
              <w:right w:w="15" w:type="dxa"/>
            </w:tcMar>
            <w:vAlign w:val="top"/>
          </w:tcPr>
          <w:p>
            <w:pPr>
              <w:keepNext w:val="true"/>
              <w:keepLines w:val="true"/>
            </w:pPr>
          </w:p>
        </w:tc>
        <w:tc>
          <w:tcPr>
            <w:tcW w:w="1957"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67"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705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5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560,000</w:t>
            </w:r>
          </w:p>
        </w:tc>
        <w:tc>
          <w:tcPr>
            <w:tcW w:w="2167" w:type="dxa"/>
            <w:tcBorders/>
            <w:tcMar>
              <w:top w:w="15" w:type="dxa"/>
              <w:left w:w="15" w:type="dxa"/>
              <w:bottom w:w="15" w:type="dxa"/>
              <w:right w:w="300" w:type="dxa"/>
            </w:tcMar>
            <w:vAlign w:val="top"/>
          </w:tcPr>
          <w:p>
            <w:pPr>
              <w:keepNext w:val="true"/>
              <w:keepLines w:val="true"/>
            </w:pPr>
          </w:p>
        </w:tc>
      </w:tr>
      <w:tr>
        <w:trPr>
          <w:cantSplit w:val="true"/>
        </w:trPr>
        <w:tc>
          <w:tcPr>
            <w:tcW w:w="7056"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 (or liability)</w:t>
            </w:r>
          </w:p>
        </w:tc>
        <w:tc>
          <w:tcPr>
            <w:tcW w:w="1957" w:type="dxa"/>
            <w:tcBorders/>
            <w:tcMar>
              <w:top w:w="15" w:type="dxa"/>
              <w:left w:w="15" w:type="dxa"/>
              <w:bottom w:w="15" w:type="dxa"/>
              <w:right w:w="15" w:type="dxa"/>
            </w:tcMar>
            <w:vAlign w:val="top"/>
          </w:tcPr>
          <w:p>
            <w:pPr>
              <w:keepNext w:val="true"/>
              <w:keepLines w:val="true"/>
            </w:pPr>
          </w:p>
        </w:tc>
        <w:tc>
          <w:tcPr>
            <w:tcW w:w="2167"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560,000</w:t>
            </w:r>
          </w:p>
        </w:tc>
      </w:tr>
    </w:tbl>
    <w:p>
      <w:pPr>
        <w:keepNext w:val="true"/>
        <w:keepLines w:val="true"/>
        <w:spacing w:after="0"/>
        <w:ind w:left="360"/>
        <w:jc w:val="left"/>
      </w:pPr>
      <w:r>
        <w:rPr>
          <w:rFonts w:ascii="Times New Roman"/>
          <w:b w:val="false"/>
          <w:i w:val="false"/>
          <w:color w:val="000000"/>
          <w:sz w:val="24"/>
        </w:rPr>
        <w:t>To record the purchase of 35% interest in Christopher Company.</w:t>
      </w:r>
      <w:r>
        <w:rPr>
          <w:rFonts w:ascii="Times New Roman"/>
          <w:sz w:val="24"/>
        </w:rPr>
      </w:r>
    </w:p>
    <w:tbl>
      <w:tblPr>
        <w:jc w:val="left"/>
        <w:tblInd w:w="360" w:type="dxa"/>
        <w:tblLayout w:type="autofit"/>
      </w:tblPr>
      <w:tr>
        <w:trPr>
          <w:cantSplit w:val="true"/>
        </w:trPr>
        <w:tc>
          <w:tcPr>
            <w:tcW w:w="6932" w:type="dxa"/>
            <w:tcBorders/>
            <w:tcMar>
              <w:top w:w="15" w:type="dxa"/>
              <w:left w:w="225" w:type="dxa"/>
              <w:bottom w:w="15" w:type="dxa"/>
              <w:right w:w="15" w:type="dxa"/>
            </w:tcMar>
            <w:vAlign w:val="top"/>
          </w:tcPr>
          <w:p>
            <w:pPr>
              <w:keepNext w:val="true"/>
              <w:keepLines w:val="true"/>
            </w:pPr>
          </w:p>
        </w:tc>
        <w:tc>
          <w:tcPr>
            <w:tcW w:w="1927"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41"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32"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27"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87,500</w:t>
            </w:r>
          </w:p>
        </w:tc>
        <w:tc>
          <w:tcPr>
            <w:tcW w:w="2141" w:type="dxa"/>
            <w:tcBorders/>
            <w:tcMar>
              <w:top w:w="15" w:type="dxa"/>
              <w:left w:w="15" w:type="dxa"/>
              <w:bottom w:w="15" w:type="dxa"/>
              <w:right w:w="300" w:type="dxa"/>
            </w:tcMar>
            <w:vAlign w:val="top"/>
          </w:tcPr>
          <w:p>
            <w:pPr>
              <w:keepNext w:val="true"/>
              <w:keepLines w:val="true"/>
            </w:pPr>
          </w:p>
        </w:tc>
      </w:tr>
      <w:tr>
        <w:trPr>
          <w:cantSplit w:val="true"/>
        </w:trPr>
        <w:tc>
          <w:tcPr>
            <w:tcW w:w="6932"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1927" w:type="dxa"/>
            <w:tcBorders/>
            <w:tcMar>
              <w:top w:w="15" w:type="dxa"/>
              <w:left w:w="15" w:type="dxa"/>
              <w:bottom w:w="15" w:type="dxa"/>
              <w:right w:w="15" w:type="dxa"/>
            </w:tcMar>
            <w:vAlign w:val="top"/>
          </w:tcPr>
          <w:p>
            <w:pPr>
              <w:keepNext w:val="true"/>
              <w:keepLines w:val="true"/>
            </w:pPr>
          </w:p>
        </w:tc>
        <w:tc>
          <w:tcPr>
            <w:tcW w:w="2141"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87,500</w:t>
            </w:r>
          </w:p>
        </w:tc>
      </w:tr>
    </w:tbl>
    <w:p>
      <w:pPr>
        <w:keepNext w:val="true"/>
        <w:keepLines w:val="true"/>
        <w:spacing w:after="0"/>
        <w:ind w:left="360"/>
        <w:jc w:val="left"/>
      </w:pPr>
      <w:r>
        <w:rPr>
          <w:rFonts w:ascii="Times New Roman"/>
          <w:b w:val="false"/>
          <w:i w:val="false"/>
          <w:color w:val="000000"/>
          <w:sz w:val="24"/>
        </w:rPr>
        <w:t>To accrue earnings of Christopher ($250,000 × 35%).</w:t>
      </w:r>
      <w:r>
        <w:rPr>
          <w:rFonts w:ascii="Times New Roman"/>
          <w:sz w:val="24"/>
        </w:rPr>
      </w:r>
    </w:p>
    <w:tbl>
      <w:tblPr>
        <w:jc w:val="left"/>
        <w:tblInd w:w="360" w:type="dxa"/>
        <w:tblLayout w:type="autofit"/>
      </w:tblPr>
      <w:tr>
        <w:trPr>
          <w:cantSplit w:val="true"/>
        </w:trPr>
        <w:tc>
          <w:tcPr>
            <w:tcW w:w="6939" w:type="dxa"/>
            <w:tcBorders/>
            <w:tcMar>
              <w:top w:w="15" w:type="dxa"/>
              <w:left w:w="225" w:type="dxa"/>
              <w:bottom w:w="15" w:type="dxa"/>
              <w:right w:w="15" w:type="dxa"/>
            </w:tcMar>
            <w:vAlign w:val="top"/>
          </w:tcPr>
          <w:p>
            <w:pPr>
              <w:keepNext w:val="true"/>
              <w:keepLines w:val="true"/>
            </w:pPr>
          </w:p>
        </w:tc>
        <w:tc>
          <w:tcPr>
            <w:tcW w:w="1923"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38"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39"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Dividend Receivable</w:t>
            </w:r>
          </w:p>
        </w:tc>
        <w:tc>
          <w:tcPr>
            <w:tcW w:w="1923"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19,250</w:t>
            </w:r>
          </w:p>
        </w:tc>
        <w:tc>
          <w:tcPr>
            <w:tcW w:w="2138" w:type="dxa"/>
            <w:tcBorders/>
            <w:tcMar>
              <w:top w:w="15" w:type="dxa"/>
              <w:left w:w="15" w:type="dxa"/>
              <w:bottom w:w="15" w:type="dxa"/>
              <w:right w:w="300" w:type="dxa"/>
            </w:tcMar>
            <w:vAlign w:val="top"/>
          </w:tcPr>
          <w:p>
            <w:pPr>
              <w:keepNext w:val="true"/>
              <w:keepLines w:val="true"/>
            </w:pPr>
          </w:p>
        </w:tc>
      </w:tr>
      <w:tr>
        <w:trPr>
          <w:cantSplit w:val="true"/>
        </w:trPr>
        <w:tc>
          <w:tcPr>
            <w:tcW w:w="6939"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23" w:type="dxa"/>
            <w:tcBorders/>
            <w:tcMar>
              <w:top w:w="15" w:type="dxa"/>
              <w:left w:w="15" w:type="dxa"/>
              <w:bottom w:w="15" w:type="dxa"/>
              <w:right w:w="15" w:type="dxa"/>
            </w:tcMar>
            <w:vAlign w:val="top"/>
          </w:tcPr>
          <w:p>
            <w:pPr>
              <w:keepNext w:val="true"/>
              <w:keepLines w:val="true"/>
            </w:pPr>
          </w:p>
        </w:tc>
        <w:tc>
          <w:tcPr>
            <w:tcW w:w="2138"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19,250</w:t>
            </w:r>
          </w:p>
        </w:tc>
      </w:tr>
    </w:tbl>
    <w:p>
      <w:pPr>
        <w:keepNext w:val="true"/>
        <w:keepLines w:val="true"/>
        <w:spacing w:after="0"/>
        <w:ind w:left="360"/>
        <w:jc w:val="left"/>
      </w:pPr>
      <w:r>
        <w:rPr>
          <w:rFonts w:ascii="Times New Roman"/>
          <w:b w:val="false"/>
          <w:i w:val="false"/>
          <w:color w:val="000000"/>
          <w:sz w:val="24"/>
        </w:rPr>
        <w:t>To record a dividend declaration by Christopher ($55,000 × 35%).</w:t>
      </w:r>
      <w:r>
        <w:rPr>
          <w:rFonts w:ascii="Times New Roman"/>
          <w:sz w:val="24"/>
        </w:rPr>
      </w:r>
    </w:p>
    <w:tbl>
      <w:tblPr>
        <w:jc w:val="left"/>
        <w:tblInd w:w="360" w:type="dxa"/>
        <w:tblLayout w:type="autofit"/>
      </w:tblPr>
      <w:tr>
        <w:trPr>
          <w:cantSplit w:val="true"/>
        </w:trPr>
        <w:tc>
          <w:tcPr>
            <w:tcW w:w="5958" w:type="dxa"/>
            <w:tcBorders/>
            <w:tcMar>
              <w:top w:w="15" w:type="dxa"/>
              <w:left w:w="225" w:type="dxa"/>
              <w:bottom w:w="15" w:type="dxa"/>
              <w:right w:w="15" w:type="dxa"/>
            </w:tcMar>
            <w:vAlign w:val="top"/>
          </w:tcPr>
          <w:p>
            <w:pPr>
              <w:keepNext w:val="true"/>
              <w:keepLines w:val="true"/>
            </w:pPr>
          </w:p>
        </w:tc>
        <w:tc>
          <w:tcPr>
            <w:tcW w:w="1913"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29"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595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13"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19,250</w:t>
            </w:r>
          </w:p>
        </w:tc>
        <w:tc>
          <w:tcPr>
            <w:tcW w:w="2129" w:type="dxa"/>
            <w:tcBorders/>
            <w:tcMar>
              <w:top w:w="15" w:type="dxa"/>
              <w:left w:w="15" w:type="dxa"/>
              <w:bottom w:w="15" w:type="dxa"/>
              <w:right w:w="300" w:type="dxa"/>
            </w:tcMar>
            <w:vAlign w:val="top"/>
          </w:tcPr>
          <w:p>
            <w:pPr>
              <w:keepNext w:val="true"/>
              <w:keepLines w:val="true"/>
            </w:pPr>
          </w:p>
        </w:tc>
      </w:tr>
      <w:tr>
        <w:trPr>
          <w:cantSplit w:val="true"/>
        </w:trPr>
        <w:tc>
          <w:tcPr>
            <w:tcW w:w="595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Dividend Receivable</w:t>
            </w:r>
          </w:p>
        </w:tc>
        <w:tc>
          <w:tcPr>
            <w:tcW w:w="1913" w:type="dxa"/>
            <w:tcBorders/>
            <w:tcMar>
              <w:top w:w="15" w:type="dxa"/>
              <w:left w:w="15" w:type="dxa"/>
              <w:bottom w:w="15" w:type="dxa"/>
              <w:right w:w="15" w:type="dxa"/>
            </w:tcMar>
            <w:vAlign w:val="top"/>
          </w:tcPr>
          <w:p>
            <w:pPr>
              <w:keepNext w:val="true"/>
              <w:keepLines w:val="true"/>
            </w:pPr>
          </w:p>
        </w:tc>
        <w:tc>
          <w:tcPr>
            <w:tcW w:w="212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19,250</w:t>
            </w:r>
          </w:p>
        </w:tc>
      </w:tr>
    </w:tbl>
    <w:p>
      <w:pPr>
        <w:keepNext w:val="true"/>
        <w:keepLines w:val="true"/>
        <w:spacing w:after="0"/>
        <w:ind w:left="360"/>
        <w:jc w:val="left"/>
      </w:pPr>
      <w:r>
        <w:rPr>
          <w:rFonts w:ascii="Times New Roman"/>
          <w:b w:val="false"/>
          <w:i w:val="false"/>
          <w:color w:val="000000"/>
          <w:sz w:val="24"/>
        </w:rPr>
        <w:t>To record collection of the cash dividend.</w:t>
      </w:r>
      <w:r>
        <w:rPr>
          <w:rFonts w:ascii="Times New Roman"/>
          <w:sz w:val="24"/>
        </w:rPr>
      </w:r>
    </w:p>
    <w:tbl>
      <w:tblPr>
        <w:jc w:val="left"/>
        <w:tblInd w:w="360" w:type="dxa"/>
        <w:tblLayout w:type="autofit"/>
      </w:tblPr>
      <w:tr>
        <w:trPr>
          <w:cantSplit w:val="true"/>
        </w:trPr>
        <w:tc>
          <w:tcPr>
            <w:tcW w:w="6954" w:type="dxa"/>
            <w:tcBorders/>
            <w:tcMar>
              <w:top w:w="15" w:type="dxa"/>
              <w:left w:w="225" w:type="dxa"/>
              <w:bottom w:w="15" w:type="dxa"/>
              <w:right w:w="15" w:type="dxa"/>
            </w:tcMar>
            <w:vAlign w:val="top"/>
          </w:tcPr>
          <w:p>
            <w:pPr>
              <w:keepNext w:val="true"/>
              <w:keepLines w:val="true"/>
            </w:pPr>
          </w:p>
        </w:tc>
        <w:tc>
          <w:tcPr>
            <w:tcW w:w="1916"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30"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1916"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7,000</w:t>
            </w:r>
          </w:p>
        </w:tc>
        <w:tc>
          <w:tcPr>
            <w:tcW w:w="2130" w:type="dxa"/>
            <w:tcBorders/>
            <w:tcMar>
              <w:top w:w="15" w:type="dxa"/>
              <w:left w:w="15" w:type="dxa"/>
              <w:bottom w:w="15" w:type="dxa"/>
              <w:right w:w="300" w:type="dxa"/>
            </w:tcMar>
            <w:vAlign w:val="top"/>
          </w:tcPr>
          <w:p>
            <w:pPr>
              <w:keepNext w:val="true"/>
              <w:keepLines w:val="true"/>
            </w:pPr>
          </w:p>
        </w:tc>
      </w:tr>
      <w:tr>
        <w:trPr>
          <w:cantSplit w:val="true"/>
        </w:trPr>
        <w:tc>
          <w:tcPr>
            <w:tcW w:w="695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16" w:type="dxa"/>
            <w:tcBorders/>
            <w:tcMar>
              <w:top w:w="15" w:type="dxa"/>
              <w:left w:w="15" w:type="dxa"/>
              <w:bottom w:w="15" w:type="dxa"/>
              <w:right w:w="15" w:type="dxa"/>
            </w:tcMar>
            <w:vAlign w:val="top"/>
          </w:tcPr>
          <w:p>
            <w:pPr>
              <w:keepNext w:val="true"/>
              <w:keepLines w:val="true"/>
            </w:pPr>
          </w:p>
        </w:tc>
        <w:tc>
          <w:tcPr>
            <w:tcW w:w="213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7,000</w:t>
            </w:r>
          </w:p>
        </w:tc>
      </w:tr>
    </w:tbl>
    <w:p>
      <w:pPr>
        <w:keepNext w:val="true"/>
        <w:keepLines w:val="true"/>
        <w:spacing w:after="0"/>
        <w:ind w:left="360"/>
        <w:jc w:val="left"/>
      </w:pPr>
      <w:r>
        <w:rPr>
          <w:rFonts w:ascii="Times New Roman"/>
          <w:b w:val="false"/>
          <w:i w:val="false"/>
          <w:color w:val="000000"/>
          <w:sz w:val="24"/>
        </w:rPr>
        <w:t>To record amortization of excess payment allocated to patent.</w:t>
      </w:r>
      <w:r>
        <w:rPr>
          <w:rFonts w:ascii="Times New Roman"/>
          <w:sz w:val="24"/>
        </w:rPr>
      </w:r>
    </w:p>
    <w:tbl>
      <w:tblPr>
        <w:jc w:val="left"/>
        <w:tblInd w:w="360" w:type="dxa"/>
        <w:tblLayout w:type="autofit"/>
      </w:tblPr>
      <w:tr>
        <w:trPr>
          <w:cantSplit w:val="true"/>
        </w:trPr>
        <w:tc>
          <w:tcPr>
            <w:tcW w:w="6954" w:type="dxa"/>
            <w:tcBorders/>
            <w:tcMar>
              <w:top w:w="15" w:type="dxa"/>
              <w:left w:w="225" w:type="dxa"/>
              <w:bottom w:w="15" w:type="dxa"/>
              <w:right w:w="15" w:type="dxa"/>
            </w:tcMar>
            <w:vAlign w:val="top"/>
          </w:tcPr>
          <w:p>
            <w:pPr>
              <w:keepNext w:val="true"/>
              <w:keepLines w:val="true"/>
            </w:pPr>
          </w:p>
        </w:tc>
        <w:tc>
          <w:tcPr>
            <w:tcW w:w="1916"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30"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1916"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1,750</w:t>
            </w:r>
          </w:p>
        </w:tc>
        <w:tc>
          <w:tcPr>
            <w:tcW w:w="2130" w:type="dxa"/>
            <w:tcBorders/>
            <w:tcMar>
              <w:top w:w="15" w:type="dxa"/>
              <w:left w:w="15" w:type="dxa"/>
              <w:bottom w:w="15" w:type="dxa"/>
              <w:right w:w="300" w:type="dxa"/>
            </w:tcMar>
            <w:vAlign w:val="top"/>
          </w:tcPr>
          <w:p>
            <w:pPr>
              <w:keepNext w:val="true"/>
              <w:keepLines w:val="true"/>
            </w:pPr>
          </w:p>
        </w:tc>
      </w:tr>
      <w:tr>
        <w:trPr>
          <w:cantSplit w:val="true"/>
        </w:trPr>
        <w:tc>
          <w:tcPr>
            <w:tcW w:w="695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16" w:type="dxa"/>
            <w:tcBorders/>
            <w:tcMar>
              <w:top w:w="15" w:type="dxa"/>
              <w:left w:w="15" w:type="dxa"/>
              <w:bottom w:w="15" w:type="dxa"/>
              <w:right w:w="15" w:type="dxa"/>
            </w:tcMar>
            <w:vAlign w:val="top"/>
          </w:tcPr>
          <w:p>
            <w:pPr>
              <w:keepNext w:val="true"/>
              <w:keepLines w:val="true"/>
            </w:pPr>
          </w:p>
        </w:tc>
        <w:tc>
          <w:tcPr>
            <w:tcW w:w="213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1,750</w:t>
            </w:r>
          </w:p>
        </w:tc>
      </w:tr>
    </w:tbl>
    <w:p>
      <w:pPr>
        <w:keepNext w:val="true"/>
        <w:keepLines w:val="true"/>
        <w:spacing w:after="0"/>
        <w:ind w:left="360"/>
        <w:jc w:val="left"/>
      </w:pPr>
      <w:r>
        <w:rPr>
          <w:rFonts w:ascii="Times New Roman"/>
          <w:b w:val="false"/>
          <w:i w:val="false"/>
          <w:color w:val="000000"/>
          <w:sz w:val="24"/>
        </w:rPr>
        <w:t>To defer gross profit on sale of inventory to Christopher Company. ($80,000 − $60,000) × 25% × 35% = $1,750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Purchase price of Christopher Company Stock</w:t>
            </w:r>
          </w:p>
        </w:tc>
        <w:tc>
          <w:tcPr>
            <w:tcW w:w="217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$ 560,000</w:t>
            </w:r>
          </w:p>
        </w:tc>
      </w:tr>
      <w:tr>
        <w:trPr>
          <w:trHeight w:val="30" w:hRule="atLeast"/>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Share of book value acquired [($2,000,000 − $600,000) × 35%]</w:t>
            </w:r>
          </w:p>
        </w:tc>
        <w:tc>
          <w:tcPr>
            <w:tcW w:w="2170" w:type="dxa"/>
            <w:tcBorders>
              <w:bottom w:val="double" w:color="000000" w:sz="5"/>
            </w:tcBorders>
            <w:tcMar>
              <w:top w:w="15" w:type="dxa"/>
              <w:left w:w="15" w:type="dxa"/>
              <w:bottom w:w="15" w:type="dxa"/>
              <w:right w:w="105" w:type="dxa"/>
            </w:tcMar>
            <w:vAlign w:val="top"/>
          </w:tcPr>
          <w:p>
            <w:pPr>
              <w:keepNext w:val="true"/>
              <w:keepLines w:val="true"/>
              <w:spacing w:after="0"/>
              <w:ind w:left="0"/>
              <w:jc w:val="right"/>
            </w:pPr>
            <w:r>
              <w:rPr>
                <w:rFonts w:ascii="Courier New" w:hAnsi="Courier New"/>
                <w:b w:val="false"/>
                <w:i w:val="false"/>
                <w:color w:val="000000"/>
                <w:sz w:val="22"/>
              </w:rPr>
              <w:t>(490,000)</w:t>
            </w:r>
          </w:p>
        </w:tc>
      </w:tr>
      <w:tr>
        <w:trPr>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Patent</w:t>
            </w:r>
          </w:p>
        </w:tc>
        <w:tc>
          <w:tcPr>
            <w:tcW w:w="2170" w:type="dxa"/>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70,000</w:t>
            </w:r>
          </w:p>
        </w:tc>
      </w:tr>
      <w:tr>
        <w:trPr>
          <w:trHeight w:val="30" w:hRule="atLeast"/>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Life in years</w:t>
            </w:r>
          </w:p>
        </w:tc>
        <w:tc>
          <w:tcPr>
            <w:tcW w:w="2170"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10</w:t>
            </w:r>
          </w:p>
        </w:tc>
      </w:tr>
      <w:tr>
        <w:trPr>
          <w:trHeight w:val="30" w:hRule="atLeast"/>
          <w:cantSplit w:val="true"/>
        </w:trPr>
        <w:tc>
          <w:tcPr>
            <w:tcW w:w="11830"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Annual amortization</w:t>
            </w:r>
          </w:p>
        </w:tc>
        <w:tc>
          <w:tcPr>
            <w:tcW w:w="2170" w:type="dxa"/>
            <w:tcBorders>
              <w:bottom w:val="double" w:color="000000" w:sz="5"/>
            </w:tcBorders>
            <w:tcMar>
              <w:top w:w="15" w:type="dxa"/>
              <w:left w:w="15" w:type="dxa"/>
              <w:bottom w:w="15" w:type="dxa"/>
              <w:right w:w="150" w:type="dxa"/>
            </w:tcMar>
            <w:vAlign w:val="top"/>
          </w:tcPr>
          <w:p>
            <w:pPr>
              <w:keepNext w:val="true"/>
              <w:keepLines w:val="true"/>
              <w:spacing w:after="0"/>
              <w:ind w:left="0"/>
              <w:jc w:val="right"/>
            </w:pPr>
            <w:r>
              <w:rPr>
                <w:rFonts w:ascii="Courier New" w:hAnsi="Courier New"/>
                <w:b w:val="false"/>
                <w:i w:val="false"/>
                <w:color w:val="000000"/>
                <w:sz w:val="22"/>
              </w:rPr>
              <w:t>$ 7,000</w:t>
            </w:r>
          </w:p>
        </w:tc>
      </w:tr>
    </w:tbl>
    <w:tbl>
      <w:tblPr>
        <w:jc w:val="left"/>
        <w:tblInd w:w="360" w:type="dxa"/>
        <w:tblLayout w:type="autofit"/>
      </w:tblPr>
      <w:tr>
        <w:trPr>
          <w:cantSplit w:val="true"/>
        </w:trPr>
        <w:tc>
          <w:tcPr>
            <w:tcW w:w="6916" w:type="dxa"/>
            <w:tcBorders/>
            <w:tcMar>
              <w:top w:w="15" w:type="dxa"/>
              <w:left w:w="225" w:type="dxa"/>
              <w:bottom w:w="15" w:type="dxa"/>
              <w:right w:w="15" w:type="dxa"/>
            </w:tcMar>
            <w:vAlign w:val="top"/>
          </w:tcPr>
          <w:p>
            <w:pPr>
              <w:keepNext w:val="true"/>
              <w:keepLines w:val="true"/>
            </w:pPr>
          </w:p>
        </w:tc>
        <w:tc>
          <w:tcPr>
            <w:tcW w:w="1935"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49"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16"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3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105,000</w:t>
            </w:r>
          </w:p>
        </w:tc>
        <w:tc>
          <w:tcPr>
            <w:tcW w:w="2149" w:type="dxa"/>
            <w:tcBorders/>
            <w:tcMar>
              <w:top w:w="15" w:type="dxa"/>
              <w:left w:w="15" w:type="dxa"/>
              <w:bottom w:w="15" w:type="dxa"/>
              <w:right w:w="300" w:type="dxa"/>
            </w:tcMar>
            <w:vAlign w:val="top"/>
          </w:tcPr>
          <w:p>
            <w:pPr>
              <w:keepNext w:val="true"/>
              <w:keepLines w:val="true"/>
            </w:pPr>
          </w:p>
        </w:tc>
      </w:tr>
      <w:tr>
        <w:trPr>
          <w:cantSplit w:val="true"/>
        </w:trPr>
        <w:tc>
          <w:tcPr>
            <w:tcW w:w="6916"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1935" w:type="dxa"/>
            <w:tcBorders/>
            <w:tcMar>
              <w:top w:w="15" w:type="dxa"/>
              <w:left w:w="15" w:type="dxa"/>
              <w:bottom w:w="15" w:type="dxa"/>
              <w:right w:w="15" w:type="dxa"/>
            </w:tcMar>
            <w:vAlign w:val="top"/>
          </w:tcPr>
          <w:p>
            <w:pPr>
              <w:keepNext w:val="true"/>
              <w:keepLines w:val="true"/>
            </w:pPr>
          </w:p>
        </w:tc>
        <w:tc>
          <w:tcPr>
            <w:tcW w:w="2149"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105,000</w:t>
            </w:r>
          </w:p>
        </w:tc>
      </w:tr>
    </w:tbl>
    <w:p>
      <w:pPr>
        <w:keepNext w:val="true"/>
        <w:keepLines w:val="true"/>
        <w:spacing w:after="0"/>
        <w:ind w:left="360"/>
        <w:jc w:val="left"/>
      </w:pPr>
      <w:r>
        <w:rPr>
          <w:rFonts w:ascii="Times New Roman"/>
          <w:b w:val="false"/>
          <w:i w:val="false"/>
          <w:color w:val="000000"/>
          <w:sz w:val="24"/>
        </w:rPr>
        <w:t>To accrue earnings of Christopher ($300,000 × 35%).</w:t>
      </w:r>
      <w:r>
        <w:rPr>
          <w:rFonts w:ascii="Times New Roman"/>
          <w:sz w:val="24"/>
        </w:rPr>
      </w:r>
    </w:p>
    <w:tbl>
      <w:tblPr>
        <w:jc w:val="left"/>
        <w:tblInd w:w="360" w:type="dxa"/>
        <w:tblLayout w:type="autofit"/>
      </w:tblPr>
      <w:tr>
        <w:trPr>
          <w:cantSplit w:val="true"/>
        </w:trPr>
        <w:tc>
          <w:tcPr>
            <w:tcW w:w="6954" w:type="dxa"/>
            <w:tcBorders/>
            <w:tcMar>
              <w:top w:w="15" w:type="dxa"/>
              <w:left w:w="225" w:type="dxa"/>
              <w:bottom w:w="15" w:type="dxa"/>
              <w:right w:w="15" w:type="dxa"/>
            </w:tcMar>
            <w:vAlign w:val="top"/>
          </w:tcPr>
          <w:p>
            <w:pPr>
              <w:keepNext w:val="true"/>
              <w:keepLines w:val="true"/>
            </w:pPr>
          </w:p>
        </w:tc>
        <w:tc>
          <w:tcPr>
            <w:tcW w:w="1916"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30"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Dividend Receivable</w:t>
            </w:r>
          </w:p>
        </w:tc>
        <w:tc>
          <w:tcPr>
            <w:tcW w:w="1916"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3,500</w:t>
            </w:r>
          </w:p>
        </w:tc>
        <w:tc>
          <w:tcPr>
            <w:tcW w:w="2130" w:type="dxa"/>
            <w:tcBorders/>
            <w:tcMar>
              <w:top w:w="15" w:type="dxa"/>
              <w:left w:w="15" w:type="dxa"/>
              <w:bottom w:w="15" w:type="dxa"/>
              <w:right w:w="300" w:type="dxa"/>
            </w:tcMar>
            <w:vAlign w:val="top"/>
          </w:tcPr>
          <w:p>
            <w:pPr>
              <w:keepNext w:val="true"/>
              <w:keepLines w:val="true"/>
            </w:pPr>
          </w:p>
        </w:tc>
      </w:tr>
      <w:tr>
        <w:trPr>
          <w:cantSplit w:val="true"/>
        </w:trPr>
        <w:tc>
          <w:tcPr>
            <w:tcW w:w="695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16" w:type="dxa"/>
            <w:tcBorders/>
            <w:tcMar>
              <w:top w:w="15" w:type="dxa"/>
              <w:left w:w="15" w:type="dxa"/>
              <w:bottom w:w="15" w:type="dxa"/>
              <w:right w:w="15" w:type="dxa"/>
            </w:tcMar>
            <w:vAlign w:val="top"/>
          </w:tcPr>
          <w:p>
            <w:pPr>
              <w:keepNext w:val="true"/>
              <w:keepLines w:val="true"/>
            </w:pPr>
          </w:p>
        </w:tc>
        <w:tc>
          <w:tcPr>
            <w:tcW w:w="213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3,500</w:t>
            </w:r>
          </w:p>
        </w:tc>
      </w:tr>
    </w:tbl>
    <w:p>
      <w:pPr>
        <w:keepNext w:val="true"/>
        <w:keepLines w:val="true"/>
        <w:spacing w:after="0"/>
        <w:ind w:left="360"/>
        <w:jc w:val="left"/>
      </w:pPr>
      <w:r>
        <w:rPr>
          <w:rFonts w:ascii="Times New Roman"/>
          <w:b w:val="false"/>
          <w:i w:val="false"/>
          <w:color w:val="000000"/>
          <w:sz w:val="24"/>
        </w:rPr>
        <w:t>To record a dividend declaration by Christopher ($10,000 × 35%).</w:t>
      </w:r>
      <w:r>
        <w:rPr>
          <w:rFonts w:ascii="Times New Roman"/>
          <w:sz w:val="24"/>
        </w:rPr>
      </w:r>
    </w:p>
    <w:tbl>
      <w:tblPr>
        <w:jc w:val="left"/>
        <w:tblInd w:w="360" w:type="dxa"/>
        <w:tblLayout w:type="autofit"/>
      </w:tblPr>
      <w:tr>
        <w:trPr>
          <w:cantSplit w:val="true"/>
        </w:trPr>
        <w:tc>
          <w:tcPr>
            <w:tcW w:w="5974" w:type="dxa"/>
            <w:tcBorders/>
            <w:tcMar>
              <w:top w:w="15" w:type="dxa"/>
              <w:left w:w="225" w:type="dxa"/>
              <w:bottom w:w="15" w:type="dxa"/>
              <w:right w:w="15" w:type="dxa"/>
            </w:tcMar>
            <w:vAlign w:val="top"/>
          </w:tcPr>
          <w:p>
            <w:pPr>
              <w:keepNext w:val="true"/>
              <w:keepLines w:val="true"/>
            </w:pPr>
          </w:p>
        </w:tc>
        <w:tc>
          <w:tcPr>
            <w:tcW w:w="1905"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21"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597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Cash</w:t>
            </w:r>
          </w:p>
        </w:tc>
        <w:tc>
          <w:tcPr>
            <w:tcW w:w="1905"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3,500</w:t>
            </w:r>
          </w:p>
        </w:tc>
        <w:tc>
          <w:tcPr>
            <w:tcW w:w="2121" w:type="dxa"/>
            <w:tcBorders/>
            <w:tcMar>
              <w:top w:w="15" w:type="dxa"/>
              <w:left w:w="15" w:type="dxa"/>
              <w:bottom w:w="15" w:type="dxa"/>
              <w:right w:w="300" w:type="dxa"/>
            </w:tcMar>
            <w:vAlign w:val="top"/>
          </w:tcPr>
          <w:p>
            <w:pPr>
              <w:keepNext w:val="true"/>
              <w:keepLines w:val="true"/>
            </w:pPr>
          </w:p>
        </w:tc>
      </w:tr>
      <w:tr>
        <w:trPr>
          <w:cantSplit w:val="true"/>
        </w:trPr>
        <w:tc>
          <w:tcPr>
            <w:tcW w:w="597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Dividend Receivable</w:t>
            </w:r>
          </w:p>
        </w:tc>
        <w:tc>
          <w:tcPr>
            <w:tcW w:w="1905" w:type="dxa"/>
            <w:tcBorders/>
            <w:tcMar>
              <w:top w:w="15" w:type="dxa"/>
              <w:left w:w="15" w:type="dxa"/>
              <w:bottom w:w="15" w:type="dxa"/>
              <w:right w:w="15" w:type="dxa"/>
            </w:tcMar>
            <w:vAlign w:val="top"/>
          </w:tcPr>
          <w:p>
            <w:pPr>
              <w:keepNext w:val="true"/>
              <w:keepLines w:val="true"/>
            </w:pPr>
          </w:p>
        </w:tc>
        <w:tc>
          <w:tcPr>
            <w:tcW w:w="2121"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3,500</w:t>
            </w:r>
          </w:p>
        </w:tc>
      </w:tr>
    </w:tbl>
    <w:p>
      <w:pPr>
        <w:keepNext w:val="true"/>
        <w:keepLines w:val="true"/>
        <w:spacing w:after="0"/>
        <w:ind w:left="360"/>
        <w:jc w:val="left"/>
      </w:pPr>
      <w:r>
        <w:rPr>
          <w:rFonts w:ascii="Times New Roman"/>
          <w:b w:val="false"/>
          <w:i w:val="false"/>
          <w:color w:val="000000"/>
          <w:sz w:val="24"/>
        </w:rPr>
        <w:t>To record collection of the cash dividend.</w:t>
      </w:r>
      <w:r>
        <w:rPr>
          <w:rFonts w:ascii="Times New Roman"/>
          <w:sz w:val="24"/>
        </w:rPr>
      </w:r>
    </w:p>
    <w:tbl>
      <w:tblPr>
        <w:jc w:val="left"/>
        <w:tblInd w:w="360" w:type="dxa"/>
        <w:tblLayout w:type="autofit"/>
      </w:tblPr>
      <w:tr>
        <w:trPr>
          <w:cantSplit w:val="true"/>
        </w:trPr>
        <w:tc>
          <w:tcPr>
            <w:tcW w:w="6954" w:type="dxa"/>
            <w:tcBorders/>
            <w:tcMar>
              <w:top w:w="15" w:type="dxa"/>
              <w:left w:w="225" w:type="dxa"/>
              <w:bottom w:w="15" w:type="dxa"/>
              <w:right w:w="15" w:type="dxa"/>
            </w:tcMar>
            <w:vAlign w:val="top"/>
          </w:tcPr>
          <w:p>
            <w:pPr>
              <w:keepNext w:val="true"/>
              <w:keepLines w:val="true"/>
            </w:pPr>
          </w:p>
        </w:tc>
        <w:tc>
          <w:tcPr>
            <w:tcW w:w="1916"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30"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1916"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7,000</w:t>
            </w:r>
          </w:p>
        </w:tc>
        <w:tc>
          <w:tcPr>
            <w:tcW w:w="2130" w:type="dxa"/>
            <w:tcBorders/>
            <w:tcMar>
              <w:top w:w="15" w:type="dxa"/>
              <w:left w:w="15" w:type="dxa"/>
              <w:bottom w:w="15" w:type="dxa"/>
              <w:right w:w="300" w:type="dxa"/>
            </w:tcMar>
            <w:vAlign w:val="top"/>
          </w:tcPr>
          <w:p>
            <w:pPr>
              <w:keepNext w:val="true"/>
              <w:keepLines w:val="true"/>
            </w:pPr>
          </w:p>
        </w:tc>
      </w:tr>
      <w:tr>
        <w:trPr>
          <w:cantSplit w:val="true"/>
        </w:trPr>
        <w:tc>
          <w:tcPr>
            <w:tcW w:w="695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16" w:type="dxa"/>
            <w:tcBorders/>
            <w:tcMar>
              <w:top w:w="15" w:type="dxa"/>
              <w:left w:w="15" w:type="dxa"/>
              <w:bottom w:w="15" w:type="dxa"/>
              <w:right w:w="15" w:type="dxa"/>
            </w:tcMar>
            <w:vAlign w:val="top"/>
          </w:tcPr>
          <w:p>
            <w:pPr>
              <w:keepNext w:val="true"/>
              <w:keepLines w:val="true"/>
            </w:pPr>
          </w:p>
        </w:tc>
        <w:tc>
          <w:tcPr>
            <w:tcW w:w="213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7,000</w:t>
            </w:r>
          </w:p>
        </w:tc>
      </w:tr>
    </w:tbl>
    <w:p>
      <w:pPr>
        <w:keepNext w:val="true"/>
        <w:keepLines w:val="true"/>
        <w:spacing w:after="0"/>
        <w:ind w:left="360"/>
        <w:jc w:val="left"/>
      </w:pPr>
      <w:r>
        <w:rPr>
          <w:rFonts w:ascii="Times New Roman"/>
          <w:b w:val="false"/>
          <w:i w:val="false"/>
          <w:color w:val="000000"/>
          <w:sz w:val="24"/>
        </w:rPr>
        <w:t>To record amortization of excess payment allocated to patent.</w:t>
      </w:r>
      <w:r>
        <w:rPr>
          <w:rFonts w:ascii="Times New Roman"/>
          <w:sz w:val="24"/>
        </w:rPr>
      </w:r>
    </w:p>
    <w:tbl>
      <w:tblPr>
        <w:jc w:val="left"/>
        <w:tblInd w:w="360" w:type="dxa"/>
        <w:tblLayout w:type="autofit"/>
      </w:tblPr>
      <w:tr>
        <w:trPr>
          <w:cantSplit w:val="true"/>
        </w:trPr>
        <w:tc>
          <w:tcPr>
            <w:tcW w:w="6948" w:type="dxa"/>
            <w:tcBorders/>
            <w:tcMar>
              <w:top w:w="15" w:type="dxa"/>
              <w:left w:w="225" w:type="dxa"/>
              <w:bottom w:w="15" w:type="dxa"/>
              <w:right w:w="15" w:type="dxa"/>
            </w:tcMar>
            <w:vAlign w:val="top"/>
          </w:tcPr>
          <w:p>
            <w:pPr>
              <w:keepNext w:val="true"/>
              <w:keepLines w:val="true"/>
            </w:pPr>
          </w:p>
        </w:tc>
        <w:tc>
          <w:tcPr>
            <w:tcW w:w="1919"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33"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48"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19"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1,750</w:t>
            </w:r>
          </w:p>
        </w:tc>
        <w:tc>
          <w:tcPr>
            <w:tcW w:w="2133" w:type="dxa"/>
            <w:tcBorders/>
            <w:tcMar>
              <w:top w:w="15" w:type="dxa"/>
              <w:left w:w="15" w:type="dxa"/>
              <w:bottom w:w="15" w:type="dxa"/>
              <w:right w:w="300" w:type="dxa"/>
            </w:tcMar>
            <w:vAlign w:val="top"/>
          </w:tcPr>
          <w:p>
            <w:pPr>
              <w:keepNext w:val="true"/>
              <w:keepLines w:val="true"/>
            </w:pPr>
          </w:p>
        </w:tc>
      </w:tr>
      <w:tr>
        <w:trPr>
          <w:cantSplit w:val="true"/>
        </w:trPr>
        <w:tc>
          <w:tcPr>
            <w:tcW w:w="6948"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1919" w:type="dxa"/>
            <w:tcBorders/>
            <w:tcMar>
              <w:top w:w="15" w:type="dxa"/>
              <w:left w:w="15" w:type="dxa"/>
              <w:bottom w:w="15" w:type="dxa"/>
              <w:right w:w="15" w:type="dxa"/>
            </w:tcMar>
            <w:vAlign w:val="top"/>
          </w:tcPr>
          <w:p>
            <w:pPr>
              <w:keepNext w:val="true"/>
              <w:keepLines w:val="true"/>
            </w:pPr>
          </w:p>
        </w:tc>
        <w:tc>
          <w:tcPr>
            <w:tcW w:w="2133"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1,750</w:t>
            </w:r>
          </w:p>
        </w:tc>
      </w:tr>
    </w:tbl>
    <w:p>
      <w:pPr>
        <w:keepNext w:val="true"/>
        <w:keepLines w:val="true"/>
        <w:spacing w:after="0"/>
        <w:ind w:left="360"/>
        <w:jc w:val="left"/>
      </w:pPr>
      <w:r>
        <w:rPr>
          <w:rFonts w:ascii="Times New Roman"/>
          <w:b w:val="false"/>
          <w:i w:val="false"/>
          <w:color w:val="000000"/>
          <w:sz w:val="24"/>
        </w:rPr>
        <w:t>To recognize income on intra-entity sale from 2023 that can now be recognized after sales to outsiders. ($80,000 − $60,000) × 25% × 35% = $1,750</w:t>
      </w:r>
      <w:r>
        <w:rPr>
          <w:rFonts w:ascii="Times New Roman"/>
          <w:sz w:val="24"/>
        </w:rPr>
      </w:r>
    </w:p>
    <w:tbl>
      <w:tblPr>
        <w:jc w:val="left"/>
        <w:tblInd w:w="360" w:type="dxa"/>
        <w:tblLayout w:type="autofit"/>
      </w:tblPr>
      <w:tr>
        <w:trPr>
          <w:cantSplit w:val="true"/>
        </w:trPr>
        <w:tc>
          <w:tcPr>
            <w:tcW w:w="6954" w:type="dxa"/>
            <w:tcBorders/>
            <w:tcMar>
              <w:top w:w="15" w:type="dxa"/>
              <w:left w:w="225" w:type="dxa"/>
              <w:bottom w:w="15" w:type="dxa"/>
              <w:right w:w="15" w:type="dxa"/>
            </w:tcMar>
            <w:vAlign w:val="top"/>
          </w:tcPr>
          <w:p>
            <w:pPr>
              <w:keepNext w:val="true"/>
              <w:keepLines w:val="true"/>
            </w:pPr>
          </w:p>
        </w:tc>
        <w:tc>
          <w:tcPr>
            <w:tcW w:w="1916" w:type="dxa"/>
            <w:tcBorders/>
            <w:tcMar>
              <w:top w:w="15" w:type="dxa"/>
              <w:left w:w="1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Debit</w:t>
            </w:r>
          </w:p>
        </w:tc>
        <w:tc>
          <w:tcPr>
            <w:tcW w:w="2130" w:type="dxa"/>
            <w:tcBorders/>
            <w:tcMar>
              <w:top w:w="15" w:type="dxa"/>
              <w:left w:w="15" w:type="dxa"/>
              <w:bottom w:w="15" w:type="dxa"/>
              <w:right w:w="150" w:type="dxa"/>
            </w:tcMar>
            <w:vAlign w:val="top"/>
          </w:tcPr>
          <w:p>
            <w:pPr>
              <w:keepNext w:val="true"/>
              <w:keepLines w:val="true"/>
              <w:spacing w:after="0"/>
              <w:ind w:left="0"/>
              <w:jc w:val="left"/>
            </w:pPr>
            <w:r>
              <w:rPr>
                <w:rFonts w:ascii="Courier New" w:hAnsi="Courier New"/>
                <w:b/>
                <w:i w:val="false"/>
                <w:color w:val="000000"/>
                <w:sz w:val="22"/>
              </w:rPr>
              <w:t>Credit</w:t>
            </w:r>
          </w:p>
        </w:tc>
      </w:tr>
      <w:tr>
        <w:trPr>
          <w:cantSplit w:val="true"/>
        </w:trPr>
        <w:tc>
          <w:tcPr>
            <w:tcW w:w="6954" w:type="dxa"/>
            <w:tcBorders/>
            <w:tcMar>
              <w:top w:w="15" w:type="dxa"/>
              <w:left w:w="225"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Equity in Investee Income</w:t>
            </w:r>
          </w:p>
        </w:tc>
        <w:tc>
          <w:tcPr>
            <w:tcW w:w="1916" w:type="dxa"/>
            <w:tcBorders/>
            <w:tcMar>
              <w:top w:w="15" w:type="dxa"/>
              <w:left w:w="15" w:type="dxa"/>
              <w:bottom w:w="15" w:type="dxa"/>
              <w:right w:w="15" w:type="dxa"/>
            </w:tcMar>
            <w:vAlign w:val="top"/>
          </w:tcPr>
          <w:p>
            <w:pPr>
              <w:keepNext w:val="true"/>
              <w:keepLines w:val="true"/>
              <w:spacing w:after="0"/>
              <w:ind w:left="0"/>
              <w:jc w:val="center"/>
            </w:pPr>
            <w:r>
              <w:rPr>
                <w:rFonts w:ascii="Courier New" w:hAnsi="Courier New"/>
                <w:b w:val="false"/>
                <w:i w:val="false"/>
                <w:color w:val="000000"/>
                <w:sz w:val="22"/>
              </w:rPr>
              <w:t>2,100</w:t>
            </w:r>
          </w:p>
        </w:tc>
        <w:tc>
          <w:tcPr>
            <w:tcW w:w="2130" w:type="dxa"/>
            <w:tcBorders/>
            <w:tcMar>
              <w:top w:w="15" w:type="dxa"/>
              <w:left w:w="15" w:type="dxa"/>
              <w:bottom w:w="15" w:type="dxa"/>
              <w:right w:w="300" w:type="dxa"/>
            </w:tcMar>
            <w:vAlign w:val="top"/>
          </w:tcPr>
          <w:p>
            <w:pPr>
              <w:keepNext w:val="true"/>
              <w:keepLines w:val="true"/>
            </w:pPr>
          </w:p>
        </w:tc>
      </w:tr>
      <w:tr>
        <w:trPr>
          <w:cantSplit w:val="true"/>
        </w:trPr>
        <w:tc>
          <w:tcPr>
            <w:tcW w:w="6954" w:type="dxa"/>
            <w:tcBorders/>
            <w:tcMar>
              <w:top w:w="15" w:type="dxa"/>
              <w:left w:w="450" w:type="dxa"/>
              <w:bottom w:w="15" w:type="dxa"/>
              <w:right w:w="15" w:type="dxa"/>
            </w:tcMar>
            <w:vAlign w:val="top"/>
          </w:tcPr>
          <w:p>
            <w:pPr>
              <w:keepNext w:val="true"/>
              <w:keepLines w:val="true"/>
              <w:spacing w:after="0"/>
              <w:ind w:left="0"/>
              <w:jc w:val="left"/>
            </w:pPr>
            <w:r>
              <w:rPr>
                <w:rFonts w:ascii="Courier New" w:hAnsi="Courier New"/>
                <w:b/>
                <w:i w:val="false"/>
                <w:color w:val="000000"/>
                <w:sz w:val="22"/>
              </w:rPr>
              <w:t>Investment in Christopher Company</w:t>
            </w:r>
          </w:p>
        </w:tc>
        <w:tc>
          <w:tcPr>
            <w:tcW w:w="1916" w:type="dxa"/>
            <w:tcBorders/>
            <w:tcMar>
              <w:top w:w="15" w:type="dxa"/>
              <w:left w:w="15" w:type="dxa"/>
              <w:bottom w:w="15" w:type="dxa"/>
              <w:right w:w="15" w:type="dxa"/>
            </w:tcMar>
            <w:vAlign w:val="top"/>
          </w:tcPr>
          <w:p>
            <w:pPr>
              <w:keepNext w:val="true"/>
              <w:keepLines w:val="true"/>
            </w:pPr>
          </w:p>
        </w:tc>
        <w:tc>
          <w:tcPr>
            <w:tcW w:w="2130" w:type="dxa"/>
            <w:tcBorders/>
            <w:tcMar>
              <w:top w:w="15" w:type="dxa"/>
              <w:left w:w="15" w:type="dxa"/>
              <w:bottom w:w="15" w:type="dxa"/>
              <w:right w:w="300" w:type="dxa"/>
            </w:tcMar>
            <w:vAlign w:val="top"/>
          </w:tcPr>
          <w:p>
            <w:pPr>
              <w:keepNext w:val="true"/>
              <w:keepLines w:val="true"/>
              <w:spacing w:after="0"/>
              <w:ind w:left="0"/>
              <w:jc w:val="right"/>
            </w:pPr>
            <w:r>
              <w:rPr>
                <w:rFonts w:ascii="Courier New" w:hAnsi="Courier New"/>
                <w:b w:val="false"/>
                <w:i w:val="false"/>
                <w:color w:val="000000"/>
                <w:sz w:val="22"/>
              </w:rPr>
              <w:t>2,100</w:t>
            </w:r>
          </w:p>
        </w:tc>
      </w:tr>
    </w:tbl>
    <w:p>
      <w:pPr>
        <w:keepNext w:val="true"/>
        <w:keepLines w:val="true"/>
        <w:spacing w:after="0"/>
        <w:ind w:left="360"/>
        <w:jc w:val="left"/>
      </w:pPr>
      <w:r>
        <w:rPr>
          <w:rFonts w:ascii="Times New Roman"/>
          <w:b w:val="false"/>
          <w:i w:val="false"/>
          <w:color w:val="000000"/>
          <w:sz w:val="24"/>
        </w:rPr>
        <w:t>To defer the investor's share of gross profit on intra-entity sales/purchases remaining in Christopher's ending inventory. ($120,000 − $90,000) × 20% × 35% = $2,100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equity method concepts and applications described in IAS 28 are virtually identical to those prescribed by the FASB ASC. However, some differences do exist. First, the FASB allows a fair-value reporting option for investments that otherwise are accounted for under the equity method. IAS 28 does not provide for a fair-value reporting option. Second, if the investee employs accounting policies that differ from those of the investor, IAS 28 requires the financial statements of the investee to be adjusted to reflect the investor’s accounting policies for the purpose of applying the equity method. U.S. GAAP does not have a similar conformity requirement.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(1) A; (2) D; (3) B; (4) D; (5) D; (6) D; (7) D; (8) D; (9) B; (10) C; (11) A; (12) B</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 fair-value method should be used. Generally, ownership of more than twenty percent (20%) of the voting common stock would be presumed to carry significant influence and would require use of the equity method. The equity method is not appropriate in this case because of the lack of the ability to exercise significant influence.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 xml:space="preserve">Idler should discontinue the use of the </w:t>
      </w:r>
      <w:r>
        <w:rPr>
          <w:rFonts w:ascii="Times New Roman"/>
          <w:b w:val="false"/>
          <w:i/>
          <w:color w:val="000000"/>
          <w:sz w:val="24"/>
        </w:rPr>
        <w:t>equity method</w:t>
      </w:r>
      <w:r>
        <w:rPr>
          <w:rFonts w:ascii="Times New Roman"/>
          <w:b w:val="false"/>
          <w:i w:val="false"/>
          <w:color w:val="000000"/>
          <w:sz w:val="24"/>
        </w:rPr>
        <w:t xml:space="preserve">. The investment would have a </w:t>
      </w:r>
      <w:r>
        <w:rPr>
          <w:rFonts w:ascii="Times New Roman"/>
          <w:b w:val="false"/>
          <w:i/>
          <w:color w:val="000000"/>
          <w:sz w:val="24"/>
        </w:rPr>
        <w:t>zero balance</w:t>
      </w:r>
      <w:r>
        <w:rPr>
          <w:rFonts w:ascii="Times New Roman"/>
          <w:b w:val="false"/>
          <w:i w:val="false"/>
          <w:color w:val="000000"/>
          <w:sz w:val="24"/>
        </w:rPr>
        <w:t xml:space="preserve"> until investee profits eliminate unrecognized losses.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When an investor has the ability to exercise significant influence over the operations of an investee, the investor should use the equity method to account for the investment. GAAP suggests several events or conditions which would indicate such influence: (1) investor representation on the investee’s board of directors; (2) material transactions between investor and investee; (3) interchange of managerial personnel; (4) technological dependency between investor and investee; (5) the extent of investor ownership and the concentration of other ownership interests in the investee; and (6) investor participation in the policy-making process of the investee. All of these conditions should be examined to determine whether the investor has the ability to exercise significant influence over the investee.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In order to verify that the equity method is appropriate, the auditor should determine whether the investor is able to exercise significant influence over the operations of the investee. The ability to influence the investee’s operations is the most important criterion for adopting the equity method. The auditor should look for such evidence of significant influence such as: (1) frequent or material intercompany transactions; (2) exchange of managerial personnel; (3) technological interdependency; and (4) investor participation in the decision-making process of the investee.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 xml:space="preserve">The use of the equity method influences the investor’s income statement and balance sheet. On the income statement, the investor’s net income will be increased by its share of the investee’s earnings reduced by any amortization of cost in excess of fair value of depreciable net assets. On the balance sheet, the investor’s total assets will include the investment account. The balance of the investment account is increased by the investor’s share of the investee’s income and decreased by investee losses and dividends paid and amortization of depreciable allocations. The investor’s retained earnings are influenced by the investee’s income or loss reported on the investor’s income statement. </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 objective of the equity method is to reflect the special relationship between investor and investee. The equity method is used when the investor holds a relatively large share of the investee, but not a controlling interest. The large ownership percentage indicates that the investor has the ability to influence the decision-making processes of the investee. Use of the fair-value method would not reflect the relationship between the two parties.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According to the equity method, the investor should recognize its share of the investee’s income in the same period in which it is earned by the investee. The equity method applies accrual accounting when the investor could exercise significant influence over the investee.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An argument could be made against the recognition of income under the equity method. The investor is required to recognize its share of the investee’s income even when it is unlikely that the investor will ever receive the entire amount in cash dividends.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A change to the fair value method is appropriate when the investor can no longer exercise significant influence over the operations of the investee. No retrospective adjustment of previous years’ financial statements or the balance in the investment account is required. The balance in the investment account at the time of the change would be treated prospectively as the cost of the investment.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 investor should account for other comprehensive income or loss by including it in an Other Comprehensive Income statement account that is separate from the Equity in Investee Income account. The investor should record its share of investee Other Comprehensive Income, which should be included in its balance sheet as Accumulated Other Comprehensive Income (Accumulated Other Comprehensive Income).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When the investor does not have significant influence with regard to the investee.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The investor possesses only a small percentage of an investee and cannot expect to have a significant impact on the operations or decision-making of the investee. Since the shares are bought in anticipation of cash dividends or appreciation of stock market values, dividends received are accounted for as income and the investment is reflected at each balance sheet date at its fair value which is generally the market value at that date.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According to GAAP, when there is a change from the fair value method to the equity method for investments, the change should be incorporated prospectively.</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Essay</w:t>
      </w:r>
    </w:p>
    <w:p>
      <w:pPr>
        <w:keepNext w:val="true"/>
        <w:keepLines w:val="true"/>
        <w:spacing w:after="0"/>
        <w:jc w:val="left"/>
      </w:pPr>
      <w:r>
        <w:rPr>
          <w:rFonts w:ascii="Times New Roman"/>
          <w:b w:val="false"/>
          <w:i w:val="false"/>
          <w:color w:val="000000"/>
          <w:sz w:val="24"/>
        </w:rPr>
        <w:t>In the balance sheet, the Investment in Investee account will be at fair value at the balance sheet date. In the income statement, any change in fair value from period to period would be reflected as investment Income (increase in fair value) or loss (decrease in fair value). Also in the income statement, the dividends received would be reflected as dividend income.</w:t>
      </w:r>
      <w:r>
        <w:rPr>
          <w:rFonts w:ascii="Times New Roman"/>
          <w:sz w:val="24"/>
        </w:rPr>
      </w:r>
    </w:p>
    <w:p>
      <w:pPr>
        <w:keepNext w:val="false"/>
        <w:keepLines w:val="true"/>
        <w:spacing w:after="0"/>
        <w:jc w:val="left"/>
      </w:pP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